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3FA" w:rsidRPr="005B3917" w:rsidRDefault="005B3917" w:rsidP="005B3917">
      <w:pPr>
        <w:pStyle w:val="a4"/>
        <w:rPr>
          <w:rFonts w:asciiTheme="majorEastAsia" w:eastAsiaTheme="majorEastAsia" w:hAnsiTheme="majorEastAsia"/>
          <w:sz w:val="24"/>
          <w:szCs w:val="24"/>
          <w:lang w:eastAsia="zh-CN"/>
        </w:rPr>
      </w:pPr>
      <w:r w:rsidRPr="005B3917">
        <w:rPr>
          <w:rFonts w:asciiTheme="majorEastAsia" w:eastAsiaTheme="majorEastAsia" w:hAnsiTheme="majorEastAsia" w:hint="eastAsia"/>
          <w:sz w:val="24"/>
          <w:szCs w:val="24"/>
          <w:lang w:eastAsia="zh-CN"/>
        </w:rPr>
        <w:t>南</w:t>
      </w:r>
      <w:proofErr w:type="gramStart"/>
      <w:r w:rsidRPr="005B3917">
        <w:rPr>
          <w:rFonts w:asciiTheme="majorEastAsia" w:eastAsiaTheme="majorEastAsia" w:hAnsiTheme="majorEastAsia" w:hint="eastAsia"/>
          <w:sz w:val="24"/>
          <w:szCs w:val="24"/>
          <w:lang w:eastAsia="zh-CN"/>
        </w:rPr>
        <w:t>玻</w:t>
      </w:r>
      <w:proofErr w:type="gramEnd"/>
      <w:r w:rsidRPr="005B3917">
        <w:rPr>
          <w:rFonts w:asciiTheme="majorEastAsia" w:eastAsiaTheme="majorEastAsia" w:hAnsiTheme="majorEastAsia" w:hint="eastAsia"/>
          <w:sz w:val="24"/>
          <w:szCs w:val="24"/>
          <w:lang w:eastAsia="zh-CN"/>
        </w:rPr>
        <w:t>A财务简报</w:t>
      </w:r>
    </w:p>
    <w:p w:rsidR="005B3917" w:rsidRDefault="005B3917" w:rsidP="005B3917">
      <w:pPr>
        <w:pStyle w:val="1"/>
        <w:rPr>
          <w:lang w:eastAsia="zh-CN"/>
        </w:rPr>
      </w:pPr>
      <w:r>
        <w:rPr>
          <w:rFonts w:hint="eastAsia"/>
          <w:lang w:eastAsia="zh-CN"/>
        </w:rPr>
        <w:t>公司概况</w:t>
      </w:r>
    </w:p>
    <w:p w:rsidR="005B3917" w:rsidRPr="005B3917" w:rsidRDefault="005B3917" w:rsidP="0015114B">
      <w:pPr>
        <w:pStyle w:val="a6"/>
        <w:spacing w:before="0" w:beforeAutospacing="0" w:after="0" w:afterAutospacing="0" w:line="360" w:lineRule="auto"/>
        <w:ind w:firstLineChars="200" w:firstLine="480"/>
      </w:pPr>
      <w:r>
        <w:rPr>
          <w:rFonts w:hint="eastAsia"/>
        </w:rPr>
        <w:t>南</w:t>
      </w:r>
      <w:proofErr w:type="gramStart"/>
      <w:r>
        <w:rPr>
          <w:rFonts w:hint="eastAsia"/>
        </w:rPr>
        <w:t>玻</w:t>
      </w:r>
      <w:proofErr w:type="gramEnd"/>
      <w:r>
        <w:rPr>
          <w:rFonts w:hint="eastAsia"/>
        </w:rPr>
        <w:t>是一家经营玻璃的龙头公司，另外最近几年一直在向着太阳能行业发展。今年的销售和利润都创新高。公司</w:t>
      </w:r>
      <w:r w:rsidRPr="005B3917">
        <w:t>主营业务为进行平板玻璃、工程玻璃等节能建筑材料，硅材料、光伏组件等可再生能源产品及精细玻璃、结构陶瓷等新型材料和高科技产品的生产、制造和销售（涉及生产许可证、环保批文的项目由各子公司另行申报），为各子公司提供经营决策、管理咨询、市场信息、技术支持与岗位培训等方面的相关协调和服务。</w:t>
      </w:r>
    </w:p>
    <w:p w:rsidR="005B3917" w:rsidRDefault="005B3917" w:rsidP="0015114B">
      <w:pPr>
        <w:pStyle w:val="a6"/>
        <w:spacing w:before="0" w:beforeAutospacing="0" w:after="0" w:afterAutospacing="0" w:line="360" w:lineRule="auto"/>
        <w:ind w:firstLineChars="200" w:firstLine="480"/>
      </w:pPr>
      <w:r>
        <w:rPr>
          <w:rFonts w:hint="eastAsia"/>
        </w:rPr>
        <w:t>公司</w:t>
      </w:r>
      <w:r w:rsidRPr="005B3917">
        <w:t>总部位于深圳蛇口，在澳洲、中东和香港设有子公司。集团在深圳、东莞、广州、成都、天津、廊坊、吴江、宜昌、四川江油、广东河源、广东英德等地建有大型生产和原料基地，形成了两大完整产业链：</w:t>
      </w:r>
    </w:p>
    <w:p w:rsidR="0015114B" w:rsidRPr="005B3917" w:rsidRDefault="0015114B" w:rsidP="0015114B">
      <w:pPr>
        <w:pStyle w:val="a6"/>
        <w:spacing w:before="0" w:beforeAutospacing="0" w:after="0" w:afterAutospacing="0" w:line="360" w:lineRule="auto"/>
        <w:ind w:firstLineChars="200" w:firstLine="480"/>
      </w:pPr>
      <w:r>
        <w:rPr>
          <w:noProof/>
        </w:rPr>
        <w:drawing>
          <wp:inline distT="0" distB="0" distL="0" distR="0">
            <wp:extent cx="4320000" cy="1688619"/>
            <wp:effectExtent l="19050" t="0" r="4350" b="0"/>
            <wp:docPr id="1" name="图片 0" descr="南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南玻.jpg"/>
                    <pic:cNvPicPr/>
                  </pic:nvPicPr>
                  <pic:blipFill>
                    <a:blip r:embed="rId7" cstate="print"/>
                    <a:stretch>
                      <a:fillRect/>
                    </a:stretch>
                  </pic:blipFill>
                  <pic:spPr>
                    <a:xfrm>
                      <a:off x="0" y="0"/>
                      <a:ext cx="4320000" cy="1688619"/>
                    </a:xfrm>
                    <a:prstGeom prst="rect">
                      <a:avLst/>
                    </a:prstGeom>
                  </pic:spPr>
                </pic:pic>
              </a:graphicData>
            </a:graphic>
          </wp:inline>
        </w:drawing>
      </w:r>
    </w:p>
    <w:p w:rsidR="005B3917" w:rsidRDefault="0015114B" w:rsidP="0015114B">
      <w:pPr>
        <w:pStyle w:val="a6"/>
        <w:spacing w:before="0" w:beforeAutospacing="0" w:after="0" w:afterAutospacing="0" w:line="360" w:lineRule="auto"/>
        <w:ind w:firstLineChars="200" w:firstLine="480"/>
      </w:pPr>
      <w:r w:rsidRPr="0015114B">
        <w:t>南玻集团从一九九六年即开始了节能玻璃的研发和生产，成为最早的低辐射节能玻璃制造商，培育和引导了中国的节能玻璃市场，参与多项节能建筑、节能产品的国家标准和行业标准和制定与修订。随着产品的不断创新和产能的扩大，集团一直是国内最大的节能玻璃供应商。</w:t>
      </w:r>
    </w:p>
    <w:p w:rsidR="0015114B" w:rsidRDefault="008F486E" w:rsidP="0015114B">
      <w:pPr>
        <w:pStyle w:val="1"/>
        <w:rPr>
          <w:lang w:eastAsia="zh-CN"/>
        </w:rPr>
      </w:pPr>
      <w:r>
        <w:rPr>
          <w:rFonts w:hint="eastAsia"/>
          <w:lang w:eastAsia="zh-CN"/>
        </w:rPr>
        <w:t>业务</w:t>
      </w:r>
      <w:proofErr w:type="spellStart"/>
      <w:r w:rsidR="0015114B">
        <w:rPr>
          <w:rFonts w:hint="eastAsia"/>
        </w:rPr>
        <w:t>构成及毛利率</w:t>
      </w:r>
      <w:proofErr w:type="spellEnd"/>
    </w:p>
    <w:p w:rsidR="00E37316" w:rsidRDefault="008F486E" w:rsidP="00642AFE">
      <w:pPr>
        <w:pStyle w:val="a6"/>
        <w:spacing w:before="0" w:beforeAutospacing="0" w:after="0" w:afterAutospacing="0" w:line="360" w:lineRule="auto"/>
        <w:ind w:firstLineChars="200" w:firstLine="480"/>
      </w:pPr>
      <w:r>
        <w:rPr>
          <w:rFonts w:hint="eastAsia"/>
        </w:rPr>
        <w:t>业务按照行业划分可以分为平板玻璃、工程玻璃、</w:t>
      </w:r>
      <w:r w:rsidRPr="008F486E">
        <w:t xml:space="preserve">精细玻璃和陶瓷 </w:t>
      </w:r>
      <w:r w:rsidRPr="008F486E">
        <w:rPr>
          <w:rFonts w:hint="eastAsia"/>
        </w:rPr>
        <w:t>和</w:t>
      </w:r>
      <w:r w:rsidRPr="008F486E">
        <w:t>太阳能</w:t>
      </w:r>
      <w:r w:rsidR="00E37316">
        <w:rPr>
          <w:rFonts w:hint="eastAsia"/>
        </w:rPr>
        <w:t>2010年营业收入</w:t>
      </w:r>
      <w:r>
        <w:rPr>
          <w:rFonts w:hint="eastAsia"/>
        </w:rPr>
        <w:t>构成如</w:t>
      </w:r>
      <w:r w:rsidR="00E37316">
        <w:rPr>
          <w:rFonts w:hint="eastAsia"/>
        </w:rPr>
        <w:t>图一所示。按照销售地区划分可以分为</w:t>
      </w:r>
      <w:r w:rsidR="00E37316" w:rsidRPr="00642AFE">
        <w:t>中国大陆</w:t>
      </w:r>
      <w:r w:rsidR="00E37316" w:rsidRPr="00642AFE">
        <w:rPr>
          <w:rFonts w:hint="eastAsia"/>
        </w:rPr>
        <w:t>、</w:t>
      </w:r>
      <w:r w:rsidR="00E37316" w:rsidRPr="00642AFE">
        <w:t>中国香港</w:t>
      </w:r>
      <w:r w:rsidR="00E37316" w:rsidRPr="00642AFE">
        <w:rPr>
          <w:rFonts w:hint="eastAsia"/>
        </w:rPr>
        <w:t>、</w:t>
      </w:r>
      <w:r w:rsidR="00E37316" w:rsidRPr="00642AFE">
        <w:t>欧洲</w:t>
      </w:r>
      <w:r w:rsidR="00E37316" w:rsidRPr="00642AFE">
        <w:rPr>
          <w:rFonts w:hint="eastAsia"/>
        </w:rPr>
        <w:t>、</w:t>
      </w:r>
      <w:r w:rsidR="00E37316" w:rsidRPr="00642AFE">
        <w:t>北美</w:t>
      </w:r>
      <w:r w:rsidR="00E37316" w:rsidRPr="00642AFE">
        <w:rPr>
          <w:rFonts w:hint="eastAsia"/>
        </w:rPr>
        <w:t>、</w:t>
      </w:r>
      <w:r w:rsidR="00E37316" w:rsidRPr="00642AFE">
        <w:t>澳洲</w:t>
      </w:r>
      <w:r w:rsidR="00E37316" w:rsidRPr="00642AFE">
        <w:rPr>
          <w:rFonts w:hint="eastAsia"/>
        </w:rPr>
        <w:t>、</w:t>
      </w:r>
      <w:r w:rsidR="00E37316" w:rsidRPr="00642AFE">
        <w:t>亚洲 ( 不含中国大陆和香港 )</w:t>
      </w:r>
      <w:r w:rsidR="00E37316" w:rsidRPr="00642AFE">
        <w:rPr>
          <w:rFonts w:hint="eastAsia"/>
        </w:rPr>
        <w:t>、</w:t>
      </w:r>
      <w:r w:rsidR="00E37316" w:rsidRPr="00642AFE">
        <w:t>其他地区</w:t>
      </w:r>
      <w:r w:rsidR="00E37316" w:rsidRPr="00642AFE">
        <w:rPr>
          <w:rFonts w:hint="eastAsia"/>
        </w:rPr>
        <w:t>各地区分布图如图二所示。</w:t>
      </w:r>
      <w:r w:rsidR="00642AFE">
        <w:rPr>
          <w:rFonts w:hint="eastAsia"/>
        </w:rPr>
        <w:t>这里面值得一提的是在欧洲和北美的销量剧增，主要是因为基数太低。目前公司主营的地区仍然是中国大陆，占到整体业务量的79%。公司的发展是伴随着中国经济的发展而成长的。</w:t>
      </w:r>
    </w:p>
    <w:p w:rsidR="008F486E" w:rsidRPr="00E37316" w:rsidRDefault="008F486E" w:rsidP="008F486E">
      <w:pPr>
        <w:pStyle w:val="a6"/>
        <w:spacing w:before="0" w:beforeAutospacing="0" w:after="0" w:afterAutospacing="0" w:line="360" w:lineRule="auto"/>
        <w:ind w:firstLineChars="200" w:firstLine="480"/>
      </w:pPr>
    </w:p>
    <w:p w:rsidR="00E37316" w:rsidRDefault="00E37316" w:rsidP="00642AFE">
      <w:pPr>
        <w:pStyle w:val="a6"/>
        <w:keepNext/>
        <w:spacing w:before="0" w:beforeAutospacing="0" w:after="0" w:afterAutospacing="0" w:line="360" w:lineRule="auto"/>
        <w:jc w:val="center"/>
      </w:pPr>
      <w:r w:rsidRPr="00E37316">
        <w:rPr>
          <w:noProof/>
        </w:rPr>
        <w:drawing>
          <wp:inline distT="0" distB="0" distL="0" distR="0">
            <wp:extent cx="4965700" cy="2520950"/>
            <wp:effectExtent l="19050" t="0" r="2540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F486E" w:rsidRPr="00E37316" w:rsidRDefault="00E37316" w:rsidP="00E37316">
      <w:pPr>
        <w:pStyle w:val="a3"/>
        <w:rPr>
          <w:lang w:eastAsia="zh-CN"/>
        </w:rPr>
      </w:pPr>
      <w:r>
        <w:rPr>
          <w:lang w:eastAsia="zh-CN"/>
        </w:rPr>
        <w:t>图表</w:t>
      </w:r>
      <w:r>
        <w:rPr>
          <w:lang w:eastAsia="zh-CN"/>
        </w:rPr>
        <w:t xml:space="preserve"> </w:t>
      </w:r>
      <w:r w:rsidR="009B3F96">
        <w:fldChar w:fldCharType="begin"/>
      </w:r>
      <w:r>
        <w:rPr>
          <w:lang w:eastAsia="zh-CN"/>
        </w:rPr>
        <w:instrText xml:space="preserve"> SEQ </w:instrText>
      </w:r>
      <w:r>
        <w:rPr>
          <w:lang w:eastAsia="zh-CN"/>
        </w:rPr>
        <w:instrText>图表</w:instrText>
      </w:r>
      <w:r>
        <w:rPr>
          <w:lang w:eastAsia="zh-CN"/>
        </w:rPr>
        <w:instrText xml:space="preserve"> \* ARABIC </w:instrText>
      </w:r>
      <w:r w:rsidR="009B3F96">
        <w:fldChar w:fldCharType="separate"/>
      </w:r>
      <w:r w:rsidR="001838F2">
        <w:rPr>
          <w:noProof/>
          <w:lang w:eastAsia="zh-CN"/>
        </w:rPr>
        <w:t>1</w:t>
      </w:r>
      <w:r w:rsidR="009B3F96">
        <w:fldChar w:fldCharType="end"/>
      </w:r>
      <w:r w:rsidR="00AB2D39">
        <w:rPr>
          <w:rFonts w:hint="eastAsia"/>
          <w:lang w:eastAsia="zh-CN"/>
        </w:rPr>
        <w:t xml:space="preserve"> </w:t>
      </w:r>
      <w:r>
        <w:rPr>
          <w:rFonts w:hint="eastAsia"/>
          <w:lang w:eastAsia="zh-CN"/>
        </w:rPr>
        <w:t>业务构成以及毛利率</w:t>
      </w:r>
    </w:p>
    <w:p w:rsidR="00642AFE" w:rsidRDefault="00AB2D39" w:rsidP="00642AFE">
      <w:pPr>
        <w:pStyle w:val="a6"/>
        <w:keepNext/>
        <w:jc w:val="center"/>
      </w:pPr>
      <w:r w:rsidRPr="00AB2D39">
        <w:rPr>
          <w:noProof/>
        </w:rPr>
        <w:drawing>
          <wp:inline distT="0" distB="0" distL="0" distR="0">
            <wp:extent cx="5086350" cy="2743200"/>
            <wp:effectExtent l="19050" t="0" r="19050" b="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F486E" w:rsidRPr="008F486E" w:rsidRDefault="00642AFE" w:rsidP="00642AFE">
      <w:pPr>
        <w:pStyle w:val="a3"/>
        <w:rPr>
          <w:lang w:eastAsia="zh-CN"/>
        </w:rPr>
      </w:pPr>
      <w:proofErr w:type="spellStart"/>
      <w:r>
        <w:t>图表</w:t>
      </w:r>
      <w:proofErr w:type="spellEnd"/>
      <w:r>
        <w:t xml:space="preserve"> </w:t>
      </w:r>
      <w:r w:rsidR="009B3F96">
        <w:fldChar w:fldCharType="begin"/>
      </w:r>
      <w:r>
        <w:instrText xml:space="preserve"> SEQ </w:instrText>
      </w:r>
      <w:r>
        <w:instrText>图表</w:instrText>
      </w:r>
      <w:r>
        <w:instrText xml:space="preserve"> \* ARABIC </w:instrText>
      </w:r>
      <w:r w:rsidR="009B3F96">
        <w:fldChar w:fldCharType="separate"/>
      </w:r>
      <w:r w:rsidR="001838F2">
        <w:rPr>
          <w:noProof/>
        </w:rPr>
        <w:t>2</w:t>
      </w:r>
      <w:r w:rsidR="009B3F96">
        <w:fldChar w:fldCharType="end"/>
      </w:r>
      <w:r>
        <w:rPr>
          <w:rFonts w:hint="eastAsia"/>
          <w:lang w:eastAsia="zh-CN"/>
        </w:rPr>
        <w:t xml:space="preserve"> </w:t>
      </w:r>
      <w:r>
        <w:rPr>
          <w:rFonts w:hint="eastAsia"/>
          <w:lang w:eastAsia="zh-CN"/>
        </w:rPr>
        <w:t>地区分布</w:t>
      </w:r>
    </w:p>
    <w:p w:rsidR="0015114B" w:rsidRDefault="00642AFE" w:rsidP="00642AFE">
      <w:pPr>
        <w:pStyle w:val="1"/>
        <w:rPr>
          <w:lang w:eastAsia="zh-CN"/>
        </w:rPr>
      </w:pPr>
      <w:proofErr w:type="spellStart"/>
      <w:r>
        <w:rPr>
          <w:rFonts w:hint="eastAsia"/>
        </w:rPr>
        <w:t>财务指标</w:t>
      </w:r>
      <w:proofErr w:type="spellEnd"/>
    </w:p>
    <w:p w:rsidR="00642AFE" w:rsidRDefault="00714F6E" w:rsidP="00714F6E">
      <w:pPr>
        <w:pStyle w:val="a6"/>
        <w:spacing w:before="0" w:beforeAutospacing="0" w:after="0" w:afterAutospacing="0" w:line="360" w:lineRule="auto"/>
        <w:ind w:firstLineChars="200" w:firstLine="480"/>
      </w:pPr>
      <w:r>
        <w:rPr>
          <w:rFonts w:hint="eastAsia"/>
        </w:rPr>
        <w:t>我将对于一些重点指标进行详细的探讨，主要的目的是能够反映出公司的经营和管理模式。</w:t>
      </w:r>
    </w:p>
    <w:p w:rsidR="00714F6E" w:rsidRDefault="00714F6E" w:rsidP="00714F6E">
      <w:pPr>
        <w:pStyle w:val="2"/>
        <w:rPr>
          <w:lang w:eastAsia="zh-CN"/>
        </w:rPr>
      </w:pPr>
      <w:proofErr w:type="spellStart"/>
      <w:r>
        <w:rPr>
          <w:rFonts w:hint="eastAsia"/>
        </w:rPr>
        <w:t>流动比率和速动比率</w:t>
      </w:r>
      <w:proofErr w:type="spellEnd"/>
    </w:p>
    <w:p w:rsidR="00714F6E" w:rsidRPr="00026BEB" w:rsidRDefault="00714F6E" w:rsidP="00714F6E">
      <w:pPr>
        <w:pStyle w:val="a6"/>
        <w:spacing w:before="0" w:beforeAutospacing="0" w:after="0" w:afterAutospacing="0" w:line="360" w:lineRule="auto"/>
        <w:ind w:firstLineChars="200" w:firstLine="480"/>
        <w:rPr>
          <w:b/>
        </w:rPr>
      </w:pPr>
      <w:r>
        <w:rPr>
          <w:rFonts w:hint="eastAsia"/>
        </w:rPr>
        <w:t>公司的流动比率为0.74，速动比率为0.5，流动比率没有超过2，速动比率也没有超过1。</w:t>
      </w:r>
      <w:r w:rsidRPr="00026BEB">
        <w:rPr>
          <w:rStyle w:val="a8"/>
          <w:rFonts w:hint="eastAsia"/>
          <w:b/>
          <w:i w:val="0"/>
        </w:rPr>
        <w:t>但是如果我们去探究优秀公司的这两个指标发现，很多都没有超</w:t>
      </w:r>
      <w:r w:rsidRPr="00026BEB">
        <w:rPr>
          <w:rStyle w:val="a8"/>
          <w:rFonts w:hint="eastAsia"/>
          <w:b/>
          <w:i w:val="0"/>
        </w:rPr>
        <w:lastRenderedPageBreak/>
        <w:t>过1。事实上由于这些公司强大的融资能力，所以计算的流动比率反而很小，这正说明这类公司的竞争力要强于其他公司。</w:t>
      </w:r>
      <w:r w:rsidRPr="00026BEB">
        <w:rPr>
          <w:rFonts w:hint="eastAsia"/>
          <w:b/>
        </w:rPr>
        <w:t>现附上几家公司的流动比率，苏宁电器为</w:t>
      </w:r>
      <w:r w:rsidR="00B274A9" w:rsidRPr="00026BEB">
        <w:rPr>
          <w:rFonts w:hint="eastAsia"/>
          <w:b/>
        </w:rPr>
        <w:t>1.4，沃尔</w:t>
      </w:r>
      <w:proofErr w:type="gramStart"/>
      <w:r w:rsidR="00B274A9" w:rsidRPr="00026BEB">
        <w:rPr>
          <w:rFonts w:hint="eastAsia"/>
          <w:b/>
        </w:rPr>
        <w:t>玛</w:t>
      </w:r>
      <w:proofErr w:type="gramEnd"/>
      <w:r w:rsidR="00B274A9" w:rsidRPr="00026BEB">
        <w:rPr>
          <w:rFonts w:hint="eastAsia"/>
          <w:b/>
        </w:rPr>
        <w:t>为0.88，相比较而言苏宁的融资能力相比</w:t>
      </w:r>
      <w:proofErr w:type="gramStart"/>
      <w:r w:rsidR="00B274A9" w:rsidRPr="00026BEB">
        <w:rPr>
          <w:rFonts w:hint="eastAsia"/>
          <w:b/>
        </w:rPr>
        <w:t>于沃尔玛</w:t>
      </w:r>
      <w:proofErr w:type="gramEnd"/>
      <w:r w:rsidR="00B274A9" w:rsidRPr="00026BEB">
        <w:rPr>
          <w:rFonts w:hint="eastAsia"/>
          <w:b/>
        </w:rPr>
        <w:t>仍有加强的空间。另外还有</w:t>
      </w:r>
      <w:r w:rsidR="00B274A9" w:rsidRPr="00026BEB">
        <w:rPr>
          <w:b/>
        </w:rPr>
        <w:t>穆迪公司的流动比率为0.64，可口可乐公司的流动比率为0.95，宝洁公司的流动比率为0.82，安海斯—布什公司的流动比率为0.88。</w:t>
      </w:r>
      <w:r w:rsidR="00026BEB" w:rsidRPr="00026BEB">
        <w:rPr>
          <w:rFonts w:hint="eastAsia"/>
          <w:b/>
        </w:rPr>
        <w:t>中国的目前可以称为优秀公司的并不多，所以举了国外的例子。</w:t>
      </w:r>
      <w:r w:rsidR="00CE5C30">
        <w:rPr>
          <w:rFonts w:hint="eastAsia"/>
          <w:b/>
        </w:rPr>
        <w:t>和他同行的福耀玻璃为0.99。</w:t>
      </w:r>
    </w:p>
    <w:p w:rsidR="00026BEB" w:rsidRDefault="00026BEB" w:rsidP="00026BEB">
      <w:pPr>
        <w:pStyle w:val="2"/>
        <w:rPr>
          <w:lang w:eastAsia="zh-CN"/>
        </w:rPr>
      </w:pPr>
      <w:r>
        <w:rPr>
          <w:rFonts w:hint="eastAsia"/>
          <w:lang w:eastAsia="zh-CN"/>
        </w:rPr>
        <w:t>资产负债率和股东权益比率</w:t>
      </w:r>
    </w:p>
    <w:p w:rsidR="00026BEB" w:rsidRDefault="00026BEB" w:rsidP="00005397">
      <w:pPr>
        <w:pStyle w:val="a6"/>
        <w:spacing w:before="0" w:beforeAutospacing="0" w:after="0" w:afterAutospacing="0" w:line="360" w:lineRule="auto"/>
        <w:ind w:firstLineChars="200" w:firstLine="480"/>
      </w:pPr>
      <w:r>
        <w:rPr>
          <w:rFonts w:hint="eastAsia"/>
        </w:rPr>
        <w:t>这</w:t>
      </w:r>
      <w:r w:rsidRPr="00026BEB">
        <w:rPr>
          <w:rFonts w:hint="eastAsia"/>
        </w:rPr>
        <w:t>两个是同一个概念的两个不同的方面。</w:t>
      </w:r>
      <w:r w:rsidR="00005397">
        <w:rPr>
          <w:rFonts w:hint="eastAsia"/>
        </w:rPr>
        <w:t>我们仅讨论股东权益比率，2010年股东权益比率为</w:t>
      </w:r>
      <w:r w:rsidR="003D34B8">
        <w:rPr>
          <w:rFonts w:hint="eastAsia"/>
        </w:rPr>
        <w:t>54%。比较平稳，详情请看图三。</w:t>
      </w:r>
    </w:p>
    <w:p w:rsidR="003D34B8" w:rsidRDefault="003D34B8" w:rsidP="003D34B8">
      <w:pPr>
        <w:pStyle w:val="a6"/>
        <w:keepNext/>
        <w:spacing w:before="0" w:beforeAutospacing="0" w:after="0" w:afterAutospacing="0" w:line="360" w:lineRule="auto"/>
        <w:jc w:val="center"/>
      </w:pPr>
      <w:r w:rsidRPr="003D34B8">
        <w:rPr>
          <w:noProof/>
        </w:rPr>
        <w:drawing>
          <wp:inline distT="0" distB="0" distL="0" distR="0">
            <wp:extent cx="5130800" cy="1758950"/>
            <wp:effectExtent l="19050" t="0" r="12700" b="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34B8" w:rsidRDefault="003D34B8" w:rsidP="003D34B8">
      <w:pPr>
        <w:pStyle w:val="a3"/>
        <w:rPr>
          <w:lang w:eastAsia="zh-CN"/>
        </w:rPr>
      </w:pPr>
      <w:r>
        <w:rPr>
          <w:lang w:eastAsia="zh-CN"/>
        </w:rPr>
        <w:t>图表</w:t>
      </w:r>
      <w:r>
        <w:rPr>
          <w:lang w:eastAsia="zh-CN"/>
        </w:rPr>
        <w:t xml:space="preserve"> </w:t>
      </w:r>
      <w:r w:rsidR="009B3F96">
        <w:fldChar w:fldCharType="begin"/>
      </w:r>
      <w:r>
        <w:rPr>
          <w:lang w:eastAsia="zh-CN"/>
        </w:rPr>
        <w:instrText xml:space="preserve"> SEQ </w:instrText>
      </w:r>
      <w:r>
        <w:rPr>
          <w:lang w:eastAsia="zh-CN"/>
        </w:rPr>
        <w:instrText>图表</w:instrText>
      </w:r>
      <w:r>
        <w:rPr>
          <w:lang w:eastAsia="zh-CN"/>
        </w:rPr>
        <w:instrText xml:space="preserve"> \* ARABIC </w:instrText>
      </w:r>
      <w:r w:rsidR="009B3F96">
        <w:fldChar w:fldCharType="separate"/>
      </w:r>
      <w:r w:rsidR="001838F2">
        <w:rPr>
          <w:noProof/>
          <w:lang w:eastAsia="zh-CN"/>
        </w:rPr>
        <w:t>3</w:t>
      </w:r>
      <w:r w:rsidR="009B3F96">
        <w:fldChar w:fldCharType="end"/>
      </w:r>
      <w:r>
        <w:rPr>
          <w:rFonts w:hint="eastAsia"/>
          <w:lang w:eastAsia="zh-CN"/>
        </w:rPr>
        <w:t xml:space="preserve"> </w:t>
      </w:r>
      <w:r>
        <w:rPr>
          <w:rFonts w:hint="eastAsia"/>
          <w:lang w:eastAsia="zh-CN"/>
        </w:rPr>
        <w:t>股东权益比率进</w:t>
      </w:r>
      <w:r>
        <w:rPr>
          <w:rFonts w:hint="eastAsia"/>
          <w:lang w:eastAsia="zh-CN"/>
        </w:rPr>
        <w:t>20</w:t>
      </w:r>
      <w:r>
        <w:rPr>
          <w:rFonts w:hint="eastAsia"/>
          <w:lang w:eastAsia="zh-CN"/>
        </w:rPr>
        <w:t>年的变化</w:t>
      </w:r>
    </w:p>
    <w:p w:rsidR="003D34B8" w:rsidRDefault="003D34B8" w:rsidP="00E0142D">
      <w:pPr>
        <w:pStyle w:val="a6"/>
        <w:spacing w:before="0" w:beforeAutospacing="0" w:after="0" w:afterAutospacing="0" w:line="360" w:lineRule="auto"/>
        <w:ind w:firstLineChars="200" w:firstLine="480"/>
      </w:pPr>
      <w:r>
        <w:rPr>
          <w:rFonts w:hint="eastAsia"/>
        </w:rPr>
        <w:t>在2007年股东权益比率曾经一度下降到31%。</w:t>
      </w:r>
      <w:r w:rsidR="00E0142D">
        <w:rPr>
          <w:rFonts w:hint="eastAsia"/>
        </w:rPr>
        <w:t>翻看07</w:t>
      </w:r>
      <w:r w:rsidR="00100A21">
        <w:rPr>
          <w:rFonts w:hint="eastAsia"/>
        </w:rPr>
        <w:t>年的财务报表可以发现公司的负债突然增加。主要是因为南玻A在07</w:t>
      </w:r>
      <w:r w:rsidR="008B4E10">
        <w:rPr>
          <w:rFonts w:hint="eastAsia"/>
        </w:rPr>
        <w:t>年突然增加了一部分的其他应付款15亿元。这部分的其他应收款为公司定向募集的13.7亿元，这部分资金是从股东处募集，暂时还没有转化</w:t>
      </w:r>
      <w:proofErr w:type="gramStart"/>
      <w:r w:rsidR="008B4E10">
        <w:rPr>
          <w:rFonts w:hint="eastAsia"/>
        </w:rPr>
        <w:t>成资本</w:t>
      </w:r>
      <w:proofErr w:type="gramEnd"/>
      <w:r w:rsidR="008B4E10">
        <w:rPr>
          <w:rFonts w:hint="eastAsia"/>
        </w:rPr>
        <w:t>公积。所以公司的基本股东权益比率维持在50上下。</w:t>
      </w:r>
    </w:p>
    <w:p w:rsidR="00E10B1A" w:rsidRDefault="00E10B1A" w:rsidP="00E10B1A">
      <w:pPr>
        <w:pStyle w:val="2"/>
        <w:rPr>
          <w:lang w:eastAsia="zh-CN"/>
        </w:rPr>
      </w:pPr>
      <w:proofErr w:type="spellStart"/>
      <w:r>
        <w:rPr>
          <w:rFonts w:hint="eastAsia"/>
        </w:rPr>
        <w:t>存货周转率</w:t>
      </w:r>
      <w:proofErr w:type="spellEnd"/>
    </w:p>
    <w:p w:rsidR="00E10B1A" w:rsidRDefault="00E10B1A" w:rsidP="00E10B1A">
      <w:pPr>
        <w:rPr>
          <w:lang w:eastAsia="zh-CN"/>
        </w:rPr>
      </w:pPr>
      <w:r>
        <w:rPr>
          <w:rFonts w:hint="eastAsia"/>
          <w:lang w:eastAsia="zh-CN"/>
        </w:rPr>
        <w:t>公司存货周转率有上升的趋势，主要是因为生产能力增长大于销售能力增长所致。</w:t>
      </w:r>
    </w:p>
    <w:p w:rsidR="00E10B1A" w:rsidRDefault="00434727" w:rsidP="00434727">
      <w:pPr>
        <w:pStyle w:val="2"/>
        <w:rPr>
          <w:lang w:eastAsia="zh-CN"/>
        </w:rPr>
      </w:pPr>
      <w:r>
        <w:rPr>
          <w:rFonts w:hint="eastAsia"/>
          <w:lang w:eastAsia="zh-CN"/>
        </w:rPr>
        <w:t>总资产报酬率</w:t>
      </w:r>
      <w:r w:rsidR="00303EDC">
        <w:rPr>
          <w:rFonts w:hint="eastAsia"/>
          <w:lang w:eastAsia="zh-CN"/>
        </w:rPr>
        <w:t>和净资产报酬率</w:t>
      </w:r>
    </w:p>
    <w:p w:rsidR="00434727" w:rsidRDefault="00434727" w:rsidP="00434727">
      <w:pPr>
        <w:pStyle w:val="a6"/>
        <w:spacing w:before="0" w:beforeAutospacing="0" w:after="0" w:afterAutospacing="0" w:line="360" w:lineRule="auto"/>
        <w:ind w:firstLineChars="200" w:firstLine="480"/>
      </w:pPr>
      <w:r>
        <w:rPr>
          <w:rFonts w:hint="eastAsia"/>
        </w:rPr>
        <w:t>公司的总资产报酬率2010年为15.95%，总资产报酬率代表的是公司利用其股东权益和负债总体获得报酬的能力。分析二十年的数据可以得到如图四所示的</w:t>
      </w:r>
      <w:r>
        <w:rPr>
          <w:rFonts w:hint="eastAsia"/>
        </w:rPr>
        <w:lastRenderedPageBreak/>
        <w:t>总资产报酬率的变化情况。</w:t>
      </w:r>
      <w:r w:rsidR="00303EDC" w:rsidRPr="00303EDC">
        <w:rPr>
          <w:rFonts w:hint="eastAsia"/>
          <w:b/>
        </w:rPr>
        <w:t>公司大部分的年份都在6%以上，这也就意味着公司可以利用杠杆来赚钱，总资产报酬率大于银行利率使我们最低的要求。</w:t>
      </w:r>
    </w:p>
    <w:p w:rsidR="00303EDC" w:rsidRDefault="00434727" w:rsidP="00303EDC">
      <w:pPr>
        <w:pStyle w:val="a6"/>
        <w:keepNext/>
        <w:spacing w:before="0" w:beforeAutospacing="0" w:after="0" w:afterAutospacing="0" w:line="360" w:lineRule="auto"/>
        <w:ind w:firstLineChars="200" w:firstLine="480"/>
      </w:pPr>
      <w:r w:rsidRPr="00434727">
        <w:rPr>
          <w:noProof/>
        </w:rPr>
        <w:drawing>
          <wp:inline distT="0" distB="0" distL="0" distR="0">
            <wp:extent cx="4857750" cy="2089150"/>
            <wp:effectExtent l="19050" t="0" r="19050" b="63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34727" w:rsidRDefault="00303EDC" w:rsidP="00303EDC">
      <w:pPr>
        <w:pStyle w:val="a3"/>
        <w:rPr>
          <w:lang w:eastAsia="zh-CN"/>
        </w:rPr>
      </w:pPr>
      <w:r>
        <w:rPr>
          <w:lang w:eastAsia="zh-CN"/>
        </w:rPr>
        <w:t>图表</w:t>
      </w:r>
      <w:r>
        <w:rPr>
          <w:lang w:eastAsia="zh-CN"/>
        </w:rPr>
        <w:t xml:space="preserve"> </w:t>
      </w:r>
      <w:r w:rsidR="009B3F96">
        <w:fldChar w:fldCharType="begin"/>
      </w:r>
      <w:r>
        <w:rPr>
          <w:lang w:eastAsia="zh-CN"/>
        </w:rPr>
        <w:instrText xml:space="preserve"> SEQ </w:instrText>
      </w:r>
      <w:r>
        <w:rPr>
          <w:lang w:eastAsia="zh-CN"/>
        </w:rPr>
        <w:instrText>图表</w:instrText>
      </w:r>
      <w:r>
        <w:rPr>
          <w:lang w:eastAsia="zh-CN"/>
        </w:rPr>
        <w:instrText xml:space="preserve"> \* ARABIC </w:instrText>
      </w:r>
      <w:r w:rsidR="009B3F96">
        <w:fldChar w:fldCharType="separate"/>
      </w:r>
      <w:r w:rsidR="001838F2">
        <w:rPr>
          <w:noProof/>
          <w:lang w:eastAsia="zh-CN"/>
        </w:rPr>
        <w:t>4</w:t>
      </w:r>
      <w:r w:rsidR="009B3F96">
        <w:fldChar w:fldCharType="end"/>
      </w:r>
      <w:r>
        <w:rPr>
          <w:rFonts w:hint="eastAsia"/>
          <w:lang w:eastAsia="zh-CN"/>
        </w:rPr>
        <w:t xml:space="preserve"> </w:t>
      </w:r>
      <w:r>
        <w:rPr>
          <w:rFonts w:hint="eastAsia"/>
          <w:lang w:eastAsia="zh-CN"/>
        </w:rPr>
        <w:t>总资产报酬率</w:t>
      </w:r>
    </w:p>
    <w:p w:rsidR="00303EDC" w:rsidRPr="00303EDC" w:rsidRDefault="00303EDC" w:rsidP="00303EDC">
      <w:pPr>
        <w:pStyle w:val="a6"/>
        <w:spacing w:before="0" w:beforeAutospacing="0" w:after="0" w:afterAutospacing="0" w:line="360" w:lineRule="auto"/>
        <w:ind w:firstLineChars="200" w:firstLine="480"/>
      </w:pPr>
      <w:r>
        <w:rPr>
          <w:rFonts w:hint="eastAsia"/>
        </w:rPr>
        <w:t>净资产报酬率一直是一个非常关键的指标，南玻也设定了对于公司高管的激励计划，其中的条件就是净资产报酬率要高于8%。公司2010年净资产报酬率为23.5%，这是个非常高的数字。</w:t>
      </w:r>
      <w:r w:rsidRPr="00303EDC">
        <w:rPr>
          <w:rFonts w:hint="eastAsia"/>
          <w:b/>
        </w:rPr>
        <w:t>我们统观历来优秀的公司都具有比较高的净资产收益率，净资产收益率直接反应了公司的扩张能力。</w:t>
      </w:r>
      <w:r w:rsidRPr="00303EDC">
        <w:rPr>
          <w:rFonts w:hint="eastAsia"/>
        </w:rPr>
        <w:t>图5反应了公司最近十二年间净资产报酬率的变化，只有今年超过了20%，超过15%的年份也只有三年。</w:t>
      </w:r>
    </w:p>
    <w:p w:rsidR="00303EDC" w:rsidRDefault="00303EDC" w:rsidP="00303EDC">
      <w:pPr>
        <w:pStyle w:val="a6"/>
        <w:keepNext/>
        <w:spacing w:before="0" w:beforeAutospacing="0" w:after="0" w:afterAutospacing="0" w:line="360" w:lineRule="auto"/>
        <w:ind w:firstLineChars="200" w:firstLine="480"/>
      </w:pPr>
      <w:r w:rsidRPr="00303EDC">
        <w:rPr>
          <w:noProof/>
        </w:rPr>
        <w:drawing>
          <wp:inline distT="0" distB="0" distL="0" distR="0">
            <wp:extent cx="4902200" cy="2032000"/>
            <wp:effectExtent l="19050" t="0" r="12700" b="635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03EDC" w:rsidRDefault="00303EDC" w:rsidP="00303EDC">
      <w:pPr>
        <w:pStyle w:val="a3"/>
        <w:rPr>
          <w:lang w:eastAsia="zh-CN"/>
        </w:rPr>
      </w:pPr>
      <w:r>
        <w:rPr>
          <w:lang w:eastAsia="zh-CN"/>
        </w:rPr>
        <w:t>图表</w:t>
      </w:r>
      <w:r>
        <w:rPr>
          <w:lang w:eastAsia="zh-CN"/>
        </w:rPr>
        <w:t xml:space="preserve"> </w:t>
      </w:r>
      <w:r w:rsidR="009B3F96">
        <w:fldChar w:fldCharType="begin"/>
      </w:r>
      <w:r>
        <w:rPr>
          <w:lang w:eastAsia="zh-CN"/>
        </w:rPr>
        <w:instrText xml:space="preserve"> SEQ </w:instrText>
      </w:r>
      <w:r>
        <w:rPr>
          <w:lang w:eastAsia="zh-CN"/>
        </w:rPr>
        <w:instrText>图表</w:instrText>
      </w:r>
      <w:r>
        <w:rPr>
          <w:lang w:eastAsia="zh-CN"/>
        </w:rPr>
        <w:instrText xml:space="preserve"> \* ARABIC </w:instrText>
      </w:r>
      <w:r w:rsidR="009B3F96">
        <w:fldChar w:fldCharType="separate"/>
      </w:r>
      <w:r w:rsidR="001838F2">
        <w:rPr>
          <w:noProof/>
          <w:lang w:eastAsia="zh-CN"/>
        </w:rPr>
        <w:t>5</w:t>
      </w:r>
      <w:r w:rsidR="009B3F96">
        <w:fldChar w:fldCharType="end"/>
      </w:r>
      <w:r>
        <w:rPr>
          <w:rFonts w:hint="eastAsia"/>
          <w:lang w:eastAsia="zh-CN"/>
        </w:rPr>
        <w:t xml:space="preserve"> </w:t>
      </w:r>
      <w:r>
        <w:rPr>
          <w:rFonts w:hint="eastAsia"/>
          <w:lang w:eastAsia="zh-CN"/>
        </w:rPr>
        <w:t>净资产报酬率</w:t>
      </w:r>
    </w:p>
    <w:p w:rsidR="00303EDC" w:rsidRDefault="00CE5C30" w:rsidP="00BD5A1F">
      <w:pPr>
        <w:pStyle w:val="a6"/>
        <w:spacing w:before="0" w:beforeAutospacing="0" w:after="0" w:afterAutospacing="0" w:line="360" w:lineRule="auto"/>
        <w:ind w:firstLineChars="200" w:firstLine="480"/>
      </w:pPr>
      <w:r>
        <w:rPr>
          <w:rFonts w:hint="eastAsia"/>
        </w:rPr>
        <w:t>如果我们哪来和福耀玻璃比较每年基本都高于福耀玻璃</w:t>
      </w:r>
      <w:r w:rsidR="00BD5A1F">
        <w:rPr>
          <w:rFonts w:hint="eastAsia"/>
        </w:rPr>
        <w:t>。同时玻璃行业前者明显高于后者。</w:t>
      </w:r>
    </w:p>
    <w:p w:rsidR="00BD5A1F" w:rsidRDefault="00BD5A1F" w:rsidP="00BD5A1F">
      <w:pPr>
        <w:pStyle w:val="2"/>
        <w:rPr>
          <w:lang w:eastAsia="zh-CN"/>
        </w:rPr>
      </w:pPr>
      <w:proofErr w:type="spellStart"/>
      <w:r>
        <w:rPr>
          <w:rFonts w:hint="eastAsia"/>
        </w:rPr>
        <w:t>销售毛利率和净利率</w:t>
      </w:r>
      <w:proofErr w:type="spellEnd"/>
    </w:p>
    <w:p w:rsidR="00BD5A1F" w:rsidRDefault="00BD5A1F" w:rsidP="001A3999">
      <w:pPr>
        <w:pStyle w:val="a6"/>
        <w:spacing w:before="0" w:beforeAutospacing="0" w:after="0" w:afterAutospacing="0" w:line="360" w:lineRule="auto"/>
        <w:ind w:firstLineChars="200" w:firstLine="480"/>
      </w:pPr>
      <w:r>
        <w:rPr>
          <w:rFonts w:hint="eastAsia"/>
        </w:rPr>
        <w:t>我</w:t>
      </w:r>
      <w:r w:rsidR="001A3999">
        <w:rPr>
          <w:rFonts w:hint="eastAsia"/>
        </w:rPr>
        <w:t>们重点探求销售毛利率，毛利率反应的是公司所处行业的竞争情况，</w:t>
      </w:r>
      <w:r w:rsidR="001A3999" w:rsidRPr="005B2D84">
        <w:rPr>
          <w:rFonts w:hint="eastAsia"/>
          <w:b/>
        </w:rPr>
        <w:t>毛利率的高低直接放映了公司所处环境的竞争情况。但这要视情况而定，比方说沃</w:t>
      </w:r>
      <w:r w:rsidR="001A3999" w:rsidRPr="005B2D84">
        <w:rPr>
          <w:rFonts w:hint="eastAsia"/>
          <w:b/>
        </w:rPr>
        <w:lastRenderedPageBreak/>
        <w:t>尔</w:t>
      </w:r>
      <w:proofErr w:type="gramStart"/>
      <w:r w:rsidR="001A3999" w:rsidRPr="005B2D84">
        <w:rPr>
          <w:rFonts w:hint="eastAsia"/>
          <w:b/>
        </w:rPr>
        <w:t>玛</w:t>
      </w:r>
      <w:proofErr w:type="gramEnd"/>
      <w:r w:rsidR="001A3999" w:rsidRPr="005B2D84">
        <w:rPr>
          <w:rFonts w:hint="eastAsia"/>
          <w:b/>
        </w:rPr>
        <w:t>就一直奉行低价的原则所以始终保持着比较低的毛利率，苏宁电器也保持17%左右的毛利率，以前的国美同样如此，由此可见国美的低价销售要比苏宁的凶悍。但随着国美内部的矛盾加大，公司越来越难找到定位。</w:t>
      </w:r>
      <w:r w:rsidR="001A3999">
        <w:rPr>
          <w:rFonts w:hint="eastAsia"/>
        </w:rPr>
        <w:t>图六是公司毛利率最近二十年的情况。</w:t>
      </w:r>
    </w:p>
    <w:p w:rsidR="001A3999" w:rsidRDefault="001A3999" w:rsidP="001A3999">
      <w:pPr>
        <w:pStyle w:val="a6"/>
        <w:spacing w:before="0" w:beforeAutospacing="0" w:after="0" w:afterAutospacing="0" w:line="360" w:lineRule="auto"/>
      </w:pPr>
      <w:r w:rsidRPr="001A3999">
        <w:rPr>
          <w:noProof/>
        </w:rPr>
        <w:drawing>
          <wp:inline distT="0" distB="0" distL="0" distR="0">
            <wp:extent cx="5219700" cy="1651000"/>
            <wp:effectExtent l="19050" t="0" r="19050" b="6350"/>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A3999" w:rsidRDefault="00EA3C70" w:rsidP="00EA3C70">
      <w:pPr>
        <w:pStyle w:val="a6"/>
        <w:spacing w:before="0" w:beforeAutospacing="0" w:after="0" w:afterAutospacing="0" w:line="360" w:lineRule="auto"/>
        <w:ind w:firstLineChars="200" w:firstLine="480"/>
      </w:pPr>
      <w:r>
        <w:rPr>
          <w:rFonts w:hint="eastAsia"/>
        </w:rPr>
        <w:t>公司的毛利率这两年维持在35%，从二十年的角度来看，是一个下降的趋势。这也是个定式，一般行业只要向前发展，利润一定会被挤压，所以毛利率从某种角度考虑应该是一个下降的趋势。但所幸玻璃行业下降缓慢。</w:t>
      </w:r>
    </w:p>
    <w:p w:rsidR="00EA3C70" w:rsidRDefault="00EA3C70" w:rsidP="00EA3C70">
      <w:pPr>
        <w:pStyle w:val="a6"/>
        <w:spacing w:before="0" w:beforeAutospacing="0" w:after="0" w:afterAutospacing="0" w:line="360" w:lineRule="auto"/>
        <w:ind w:firstLineChars="200" w:firstLine="480"/>
        <w:rPr>
          <w:b/>
        </w:rPr>
      </w:pPr>
      <w:r>
        <w:rPr>
          <w:rFonts w:hint="eastAsia"/>
        </w:rPr>
        <w:t>南玻销售净利率为18%左右，我们来看同样是玻璃行业的福耀玻璃要高于南玻毛利率为40%，净利率为22%。</w:t>
      </w:r>
      <w:r w:rsidR="00D9189A" w:rsidRPr="005B2D84">
        <w:rPr>
          <w:rFonts w:hint="eastAsia"/>
          <w:b/>
        </w:rPr>
        <w:t>从这点来看福耀玻璃利用了过多的银行杠杆。财务上南玻要稳健。</w:t>
      </w:r>
    </w:p>
    <w:p w:rsidR="00F975D3" w:rsidRPr="00F975D3" w:rsidRDefault="005B2D84" w:rsidP="00F975D3">
      <w:pPr>
        <w:pStyle w:val="1"/>
        <w:rPr>
          <w:lang w:eastAsia="zh-CN"/>
        </w:rPr>
      </w:pPr>
      <w:proofErr w:type="spellStart"/>
      <w:r>
        <w:rPr>
          <w:rFonts w:hint="eastAsia"/>
        </w:rPr>
        <w:t>资产负债情况</w:t>
      </w:r>
      <w:proofErr w:type="spellEnd"/>
    </w:p>
    <w:p w:rsidR="00AA001B" w:rsidRPr="00AA001B" w:rsidRDefault="00AA001B" w:rsidP="00AA001B">
      <w:pPr>
        <w:pStyle w:val="2"/>
        <w:rPr>
          <w:lang w:eastAsia="zh-CN"/>
        </w:rPr>
      </w:pPr>
      <w:r>
        <w:rPr>
          <w:rFonts w:hint="eastAsia"/>
          <w:lang w:eastAsia="zh-CN"/>
        </w:rPr>
        <w:t>流动资产</w:t>
      </w:r>
    </w:p>
    <w:p w:rsidR="003C09BB" w:rsidRDefault="00F876A9" w:rsidP="00191E6E">
      <w:pPr>
        <w:pStyle w:val="a6"/>
        <w:spacing w:before="0" w:beforeAutospacing="0" w:after="0" w:afterAutospacing="0" w:line="360" w:lineRule="auto"/>
        <w:ind w:firstLineChars="200" w:firstLine="480"/>
        <w:rPr>
          <w:rFonts w:hint="eastAsia"/>
        </w:rPr>
      </w:pPr>
      <w:r>
        <w:rPr>
          <w:rFonts w:hint="eastAsia"/>
        </w:rPr>
        <w:t>公司2010年所持有的货币资金为7.9亿，占有总资产的比率为6%</w:t>
      </w:r>
      <w:r w:rsidR="00905502">
        <w:rPr>
          <w:rFonts w:hint="eastAsia"/>
        </w:rPr>
        <w:t>，这个比重要高于福耀玻璃。福耀玻璃为1.5%，这个比例太低了，当公司遇到困难的时候很容易出现问题。</w:t>
      </w:r>
      <w:r w:rsidR="00F975D3">
        <w:rPr>
          <w:rFonts w:hint="eastAsia"/>
        </w:rPr>
        <w:t>南</w:t>
      </w:r>
      <w:proofErr w:type="gramStart"/>
      <w:r w:rsidR="00F975D3">
        <w:rPr>
          <w:rFonts w:hint="eastAsia"/>
        </w:rPr>
        <w:t>玻</w:t>
      </w:r>
      <w:proofErr w:type="gramEnd"/>
      <w:r w:rsidR="00F975D3">
        <w:rPr>
          <w:rFonts w:hint="eastAsia"/>
        </w:rPr>
        <w:t>主要包括库存的现金5.9万，银行存款6.2亿和其他货币资金其中主要是指南</w:t>
      </w:r>
      <w:proofErr w:type="gramStart"/>
      <w:r w:rsidR="00F975D3">
        <w:rPr>
          <w:rFonts w:hint="eastAsia"/>
        </w:rPr>
        <w:t>玻</w:t>
      </w:r>
      <w:proofErr w:type="gramEnd"/>
      <w:r w:rsidR="00F975D3" w:rsidRPr="00F975D3">
        <w:t>向银行申请开具信用证及银行承兑汇票等所存入的保证金存款，为受限制货币资金。</w:t>
      </w:r>
      <w:r w:rsidR="00905502">
        <w:rPr>
          <w:rFonts w:hint="eastAsia"/>
        </w:rPr>
        <w:t>总共是1.3亿</w:t>
      </w:r>
      <w:r>
        <w:rPr>
          <w:rFonts w:hint="eastAsia"/>
        </w:rPr>
        <w:t>。</w:t>
      </w:r>
      <w:r w:rsidR="00905502">
        <w:rPr>
          <w:rFonts w:hint="eastAsia"/>
        </w:rPr>
        <w:t>所以可用的资金为6.2亿左右。</w:t>
      </w:r>
    </w:p>
    <w:p w:rsidR="003D2B81" w:rsidRDefault="00F876A9" w:rsidP="001A21EB">
      <w:pPr>
        <w:pStyle w:val="a6"/>
        <w:spacing w:before="0" w:beforeAutospacing="0" w:after="0" w:afterAutospacing="0" w:line="360" w:lineRule="auto"/>
        <w:ind w:firstLineChars="200" w:firstLine="480"/>
        <w:rPr>
          <w:rFonts w:hint="eastAsia"/>
        </w:rPr>
      </w:pPr>
      <w:r>
        <w:rPr>
          <w:rFonts w:hint="eastAsia"/>
        </w:rPr>
        <w:t>公司应收的票据为3.6亿，</w:t>
      </w:r>
      <w:r w:rsidR="00191E6E">
        <w:rPr>
          <w:rFonts w:hint="eastAsia"/>
        </w:rPr>
        <w:t>主要包括</w:t>
      </w:r>
      <w:r w:rsidR="00191E6E" w:rsidRPr="00191E6E">
        <w:t>商业承兑汇票</w:t>
      </w:r>
      <w:r w:rsidR="00191E6E" w:rsidRPr="00191E6E">
        <w:rPr>
          <w:rFonts w:hint="eastAsia"/>
        </w:rPr>
        <w:t>6600万和</w:t>
      </w:r>
      <w:r w:rsidR="00191E6E" w:rsidRPr="00191E6E">
        <w:t>银行承兑汇票</w:t>
      </w:r>
      <w:r w:rsidR="00191E6E" w:rsidRPr="00191E6E">
        <w:rPr>
          <w:rFonts w:hint="eastAsia"/>
        </w:rPr>
        <w:t>2.96亿</w:t>
      </w:r>
      <w:r w:rsidR="00191E6E">
        <w:rPr>
          <w:rFonts w:hint="eastAsia"/>
        </w:rPr>
        <w:t>，整体</w:t>
      </w:r>
      <w:r>
        <w:rPr>
          <w:rFonts w:hint="eastAsia"/>
        </w:rPr>
        <w:t>成倍增的态势。</w:t>
      </w:r>
    </w:p>
    <w:p w:rsidR="003D2B81" w:rsidRDefault="00F876A9" w:rsidP="001A21EB">
      <w:pPr>
        <w:pStyle w:val="a6"/>
        <w:spacing w:before="0" w:beforeAutospacing="0" w:after="0" w:afterAutospacing="0" w:line="360" w:lineRule="auto"/>
        <w:ind w:firstLineChars="200" w:firstLine="480"/>
        <w:rPr>
          <w:rFonts w:hint="eastAsia"/>
        </w:rPr>
      </w:pPr>
      <w:r>
        <w:rPr>
          <w:rFonts w:hint="eastAsia"/>
        </w:rPr>
        <w:t>应收的账款净额为2.4</w:t>
      </w:r>
      <w:r w:rsidR="00191E6E">
        <w:rPr>
          <w:rFonts w:hint="eastAsia"/>
        </w:rPr>
        <w:t>7</w:t>
      </w:r>
      <w:r>
        <w:rPr>
          <w:rFonts w:hint="eastAsia"/>
        </w:rPr>
        <w:t>亿，</w:t>
      </w:r>
      <w:r w:rsidR="00191E6E">
        <w:rPr>
          <w:rFonts w:hint="eastAsia"/>
        </w:rPr>
        <w:t>坏账准备为510万，</w:t>
      </w:r>
      <w:proofErr w:type="gramStart"/>
      <w:r w:rsidR="00191E6E">
        <w:rPr>
          <w:rFonts w:hint="eastAsia"/>
        </w:rPr>
        <w:t>从账龄来看</w:t>
      </w:r>
      <w:proofErr w:type="gramEnd"/>
      <w:r w:rsidR="003C09BB">
        <w:rPr>
          <w:rFonts w:hint="eastAsia"/>
        </w:rPr>
        <w:t>一年以内的为2.44亿，超过一年的为230万，所占的比例很小。</w:t>
      </w:r>
      <w:r w:rsidR="001A21EB">
        <w:rPr>
          <w:rFonts w:hint="eastAsia"/>
        </w:rPr>
        <w:t>坏账计提准备按照整体欠款计提2%的比例为510万，自己比较分散，风险不大，公司在10年曾经核销了510</w:t>
      </w:r>
      <w:r w:rsidR="001A21EB">
        <w:rPr>
          <w:rFonts w:hint="eastAsia"/>
        </w:rPr>
        <w:lastRenderedPageBreak/>
        <w:t>万的欠款，坏账基本在这个等级。欠款的集中度适中，其中欠款最多的客户占总欠款的16.03%。前五大客户欠款总额占总体的比重为40.21%。要提到的金刚玻璃去年的关联应付账款已经付了一大半，目前所欠的</w:t>
      </w:r>
      <w:proofErr w:type="gramStart"/>
      <w:r w:rsidR="001A21EB">
        <w:rPr>
          <w:rFonts w:hint="eastAsia"/>
        </w:rPr>
        <w:t>账款只</w:t>
      </w:r>
      <w:proofErr w:type="gramEnd"/>
      <w:r w:rsidR="001A21EB">
        <w:rPr>
          <w:rFonts w:hint="eastAsia"/>
        </w:rPr>
        <w:t>占总体的0.03%。</w:t>
      </w:r>
      <w:r w:rsidR="003D2B81">
        <w:rPr>
          <w:rFonts w:hint="eastAsia"/>
        </w:rPr>
        <w:t>在账款中也包括所应收取的折合成人民币为7500万的外币金额。</w:t>
      </w:r>
      <w:r w:rsidR="003C09BB">
        <w:rPr>
          <w:rFonts w:hint="eastAsia"/>
        </w:rPr>
        <w:t>总体</w:t>
      </w:r>
      <w:r>
        <w:rPr>
          <w:rFonts w:hint="eastAsia"/>
        </w:rPr>
        <w:t>应收账款在减小。</w:t>
      </w:r>
      <w:r w:rsidR="00AA001B">
        <w:rPr>
          <w:rFonts w:hint="eastAsia"/>
        </w:rPr>
        <w:t>占总资产为1.9%</w:t>
      </w:r>
      <w:r w:rsidR="003D2B81">
        <w:rPr>
          <w:rFonts w:hint="eastAsia"/>
        </w:rPr>
        <w:t>。</w:t>
      </w:r>
    </w:p>
    <w:p w:rsidR="003C09BB" w:rsidRPr="003D2B81" w:rsidRDefault="003D2B81" w:rsidP="003D2B81">
      <w:pPr>
        <w:pStyle w:val="a6"/>
        <w:spacing w:before="0" w:beforeAutospacing="0" w:after="0" w:afterAutospacing="0" w:line="360" w:lineRule="auto"/>
        <w:ind w:firstLineChars="200" w:firstLine="480"/>
        <w:rPr>
          <w:rFonts w:hint="eastAsia"/>
        </w:rPr>
      </w:pPr>
      <w:r>
        <w:rPr>
          <w:rFonts w:hint="eastAsia"/>
        </w:rPr>
        <w:t>其他的应收款项6600万，主要包括</w:t>
      </w:r>
      <w:r w:rsidRPr="003D2B81">
        <w:t>存出保证金</w:t>
      </w:r>
      <w:r w:rsidRPr="003D2B81">
        <w:rPr>
          <w:rFonts w:hint="eastAsia"/>
        </w:rPr>
        <w:t>、</w:t>
      </w:r>
      <w:r w:rsidRPr="003D2B81">
        <w:t>代垫款项</w:t>
      </w:r>
      <w:r w:rsidRPr="003D2B81">
        <w:rPr>
          <w:rFonts w:hint="eastAsia"/>
        </w:rPr>
        <w:t>、</w:t>
      </w:r>
      <w:r w:rsidRPr="003D2B81">
        <w:t>备用金借款</w:t>
      </w:r>
      <w:r w:rsidRPr="003D2B81">
        <w:rPr>
          <w:rFonts w:hint="eastAsia"/>
        </w:rPr>
        <w:t>、</w:t>
      </w:r>
      <w:r w:rsidRPr="003D2B81">
        <w:t>应收出</w:t>
      </w:r>
      <w:r w:rsidRPr="003D2B81">
        <w:rPr>
          <w:rFonts w:hint="eastAsia"/>
        </w:rPr>
        <w:t>、</w:t>
      </w:r>
      <w:r w:rsidRPr="003D2B81">
        <w:t>退税款</w:t>
      </w:r>
      <w:r>
        <w:rPr>
          <w:rFonts w:hint="eastAsia"/>
        </w:rPr>
        <w:t>和</w:t>
      </w:r>
      <w:r w:rsidRPr="003D2B81">
        <w:t>其他</w:t>
      </w:r>
      <w:r>
        <w:rPr>
          <w:rFonts w:hint="eastAsia"/>
        </w:rPr>
        <w:t>，其中确定有280万是无法收回的，这里不做详细的探讨。</w:t>
      </w:r>
    </w:p>
    <w:p w:rsidR="003D2B81" w:rsidRDefault="003D2B81" w:rsidP="00191E6E">
      <w:pPr>
        <w:pStyle w:val="a6"/>
        <w:spacing w:before="0" w:beforeAutospacing="0" w:after="0" w:afterAutospacing="0" w:line="360" w:lineRule="auto"/>
        <w:ind w:firstLineChars="200" w:firstLine="480"/>
        <w:rPr>
          <w:rFonts w:hint="eastAsia"/>
        </w:rPr>
      </w:pPr>
      <w:r>
        <w:rPr>
          <w:rFonts w:hint="eastAsia"/>
        </w:rPr>
        <w:t>预付账款都为一年以内，前五大供货商供应预付款为4300万，占整体的40.31%。</w:t>
      </w:r>
    </w:p>
    <w:p w:rsidR="005B2B88" w:rsidRDefault="00F876A9" w:rsidP="00F67F57">
      <w:pPr>
        <w:pStyle w:val="a6"/>
        <w:spacing w:before="0" w:beforeAutospacing="0" w:after="0" w:afterAutospacing="0" w:line="360" w:lineRule="auto"/>
        <w:ind w:firstLineChars="200" w:firstLine="480"/>
      </w:pPr>
      <w:r>
        <w:rPr>
          <w:rFonts w:hint="eastAsia"/>
        </w:rPr>
        <w:t>存货基本保持在4.5亿左右</w:t>
      </w:r>
      <w:r w:rsidR="00AA001B">
        <w:rPr>
          <w:rFonts w:hint="eastAsia"/>
        </w:rPr>
        <w:t>，存货占总资产为3.6%，存货量很小，不会对公司造成过重的影响。</w:t>
      </w:r>
      <w:r w:rsidR="005B2B88">
        <w:rPr>
          <w:rFonts w:hint="eastAsia"/>
        </w:rPr>
        <w:t>其中</w:t>
      </w:r>
      <w:r w:rsidR="005B2B88" w:rsidRPr="00F67F57">
        <w:t>原材料 2</w:t>
      </w:r>
      <w:r w:rsidR="005B2B88" w:rsidRPr="00F67F57">
        <w:rPr>
          <w:rFonts w:hint="eastAsia"/>
        </w:rPr>
        <w:t>.</w:t>
      </w:r>
      <w:r w:rsidR="005B2B88" w:rsidRPr="00F67F57">
        <w:t>4</w:t>
      </w:r>
      <w:r w:rsidR="005B2B88" w:rsidRPr="00F67F57">
        <w:rPr>
          <w:rFonts w:hint="eastAsia"/>
        </w:rPr>
        <w:t>亿</w:t>
      </w:r>
      <w:r w:rsidR="00F67F57">
        <w:rPr>
          <w:rFonts w:hint="eastAsia"/>
        </w:rPr>
        <w:t>、</w:t>
      </w:r>
      <w:r w:rsidR="005B2B88" w:rsidRPr="00F67F57">
        <w:t xml:space="preserve">在产品 </w:t>
      </w:r>
      <w:r w:rsidR="00F67F57">
        <w:rPr>
          <w:rFonts w:hint="eastAsia"/>
        </w:rPr>
        <w:t>2600万、</w:t>
      </w:r>
      <w:r w:rsidR="005B2B88" w:rsidRPr="00F67F57">
        <w:t xml:space="preserve">库存商品 </w:t>
      </w:r>
      <w:r w:rsidR="00F67F57">
        <w:rPr>
          <w:rFonts w:hint="eastAsia"/>
        </w:rPr>
        <w:t>1.7亿（跌价准备为5479）、</w:t>
      </w:r>
      <w:r w:rsidR="005B2B88" w:rsidRPr="00F67F57">
        <w:t>周转材料</w:t>
      </w:r>
      <w:r w:rsidR="00F67F57">
        <w:rPr>
          <w:rFonts w:hint="eastAsia"/>
        </w:rPr>
        <w:t>400万</w:t>
      </w:r>
      <w:r w:rsidR="005B2B88" w:rsidRPr="00F67F57">
        <w:t>(</w:t>
      </w:r>
      <w:r w:rsidR="00F67F57">
        <w:rPr>
          <w:rFonts w:hint="eastAsia"/>
        </w:rPr>
        <w:t>跌价准备163万</w:t>
      </w:r>
      <w:r w:rsidR="00F67F57">
        <w:t>)</w:t>
      </w:r>
      <w:r w:rsidR="00F67F57">
        <w:rPr>
          <w:rFonts w:hint="eastAsia"/>
        </w:rPr>
        <w:t>。</w:t>
      </w:r>
      <w:r w:rsidR="005C7D71">
        <w:rPr>
          <w:rFonts w:hint="eastAsia"/>
        </w:rPr>
        <w:t>目前存货减价的可能性不大。</w:t>
      </w:r>
    </w:p>
    <w:p w:rsidR="00D9189A" w:rsidRDefault="005C7D71" w:rsidP="00191E6E">
      <w:pPr>
        <w:pStyle w:val="a6"/>
        <w:spacing w:before="0" w:beforeAutospacing="0" w:after="0" w:afterAutospacing="0" w:line="360" w:lineRule="auto"/>
        <w:ind w:firstLineChars="200" w:firstLine="480"/>
      </w:pPr>
      <w:r>
        <w:rPr>
          <w:rFonts w:hint="eastAsia"/>
        </w:rPr>
        <w:t>其他流动资产为2490万，主要是保本型理财产品。</w:t>
      </w:r>
      <w:r w:rsidR="00AA001B">
        <w:rPr>
          <w:rFonts w:hint="eastAsia"/>
        </w:rPr>
        <w:t>合计为20亿的流动资产。</w:t>
      </w:r>
    </w:p>
    <w:p w:rsidR="00AA001B" w:rsidRDefault="00F977E7" w:rsidP="00F977E7">
      <w:pPr>
        <w:pStyle w:val="2"/>
        <w:rPr>
          <w:rFonts w:hint="eastAsia"/>
          <w:lang w:eastAsia="zh-CN"/>
        </w:rPr>
      </w:pPr>
      <w:proofErr w:type="spellStart"/>
      <w:r>
        <w:rPr>
          <w:rFonts w:hint="eastAsia"/>
        </w:rPr>
        <w:t>非流动资产</w:t>
      </w:r>
      <w:proofErr w:type="spellEnd"/>
    </w:p>
    <w:p w:rsidR="005C7D71" w:rsidRPr="005C7D71" w:rsidRDefault="005C7D71" w:rsidP="008058DA">
      <w:pPr>
        <w:pStyle w:val="a6"/>
        <w:spacing w:before="0" w:beforeAutospacing="0" w:after="0" w:afterAutospacing="0" w:line="360" w:lineRule="auto"/>
        <w:ind w:firstLineChars="200" w:firstLine="480"/>
      </w:pPr>
      <w:r>
        <w:rPr>
          <w:rFonts w:hint="eastAsia"/>
        </w:rPr>
        <w:t>长期股权投资按照成本法计算为3.29亿，其中主要的投资为金刚玻璃</w:t>
      </w:r>
      <w:r w:rsidR="008058DA">
        <w:rPr>
          <w:rFonts w:hint="eastAsia"/>
        </w:rPr>
        <w:t>，南</w:t>
      </w:r>
      <w:proofErr w:type="gramStart"/>
      <w:r w:rsidR="008058DA">
        <w:rPr>
          <w:rFonts w:hint="eastAsia"/>
        </w:rPr>
        <w:t>玻</w:t>
      </w:r>
      <w:proofErr w:type="gramEnd"/>
      <w:r w:rsidR="008058DA">
        <w:rPr>
          <w:rFonts w:hint="eastAsia"/>
        </w:rPr>
        <w:t>持有金刚玻璃1000万股，持股比例为8.33%。按照目前的市值计算，公司这部分资产为3.38亿。</w:t>
      </w:r>
    </w:p>
    <w:p w:rsidR="008058DA" w:rsidRDefault="00F977E7" w:rsidP="00F977E7">
      <w:pPr>
        <w:pStyle w:val="a6"/>
        <w:spacing w:before="0" w:beforeAutospacing="0" w:after="0" w:afterAutospacing="0" w:line="360" w:lineRule="auto"/>
        <w:ind w:firstLineChars="200" w:firstLine="480"/>
        <w:rPr>
          <w:rFonts w:hint="eastAsia"/>
        </w:rPr>
      </w:pPr>
      <w:r>
        <w:rPr>
          <w:rFonts w:hint="eastAsia"/>
        </w:rPr>
        <w:t>固定资产</w:t>
      </w:r>
      <w:r w:rsidR="008058DA">
        <w:rPr>
          <w:rFonts w:hint="eastAsia"/>
        </w:rPr>
        <w:t>净额</w:t>
      </w:r>
      <w:r>
        <w:rPr>
          <w:rFonts w:hint="eastAsia"/>
        </w:rPr>
        <w:t>为88亿，占到总资产的70%。这个比重非常高，我们来看看福耀玻璃的情况固定资产为51亿，总资产为105亿，</w:t>
      </w:r>
      <w:r w:rsidR="00086D59">
        <w:rPr>
          <w:rFonts w:hint="eastAsia"/>
        </w:rPr>
        <w:t>固定资产只占到总资产的48%。相比较而言南玻的资产配置应该需要更合理一些。过高的固定资产对抵御通货膨胀也不利。</w:t>
      </w:r>
      <w:r w:rsidR="008058DA">
        <w:rPr>
          <w:rFonts w:hint="eastAsia"/>
        </w:rPr>
        <w:t>公司的折旧计算请详见公司财务报表。</w:t>
      </w:r>
    </w:p>
    <w:p w:rsidR="00B7608D" w:rsidRPr="00B7608D" w:rsidRDefault="00086D59" w:rsidP="00B301B9">
      <w:pPr>
        <w:pStyle w:val="a6"/>
        <w:spacing w:before="0" w:beforeAutospacing="0" w:after="0" w:afterAutospacing="0" w:line="360" w:lineRule="auto"/>
        <w:ind w:firstLineChars="200" w:firstLine="480"/>
        <w:rPr>
          <w:rFonts w:hint="eastAsia"/>
        </w:rPr>
      </w:pPr>
      <w:r>
        <w:rPr>
          <w:rFonts w:hint="eastAsia"/>
        </w:rPr>
        <w:t>公司的无形资产为3.8亿，</w:t>
      </w:r>
      <w:r w:rsidR="00B7608D" w:rsidRPr="00B301B9">
        <w:t>土地使用权</w:t>
      </w:r>
      <w:r w:rsidR="00D63BDD" w:rsidRPr="00B301B9">
        <w:rPr>
          <w:rFonts w:hint="eastAsia"/>
        </w:rPr>
        <w:t>3.13亿、</w:t>
      </w:r>
      <w:r w:rsidR="00B7608D" w:rsidRPr="00B301B9">
        <w:t>专有技术</w:t>
      </w:r>
      <w:r w:rsidR="00D63BDD" w:rsidRPr="00B301B9">
        <w:rPr>
          <w:rFonts w:hint="eastAsia"/>
        </w:rPr>
        <w:t>4900万、</w:t>
      </w:r>
      <w:r w:rsidR="00B7608D" w:rsidRPr="00B301B9">
        <w:t>矿产开采权</w:t>
      </w:r>
      <w:r w:rsidR="00D63BDD" w:rsidRPr="00B301B9">
        <w:rPr>
          <w:rFonts w:hint="eastAsia"/>
        </w:rPr>
        <w:t>371万和</w:t>
      </w:r>
      <w:r w:rsidR="00B7608D" w:rsidRPr="00B301B9">
        <w:t>其他</w:t>
      </w:r>
      <w:r w:rsidR="00D63BDD" w:rsidRPr="00B301B9">
        <w:rPr>
          <w:rFonts w:hint="eastAsia"/>
        </w:rPr>
        <w:t>1500万。</w:t>
      </w:r>
      <w:r w:rsidR="00B301B9" w:rsidRPr="00B301B9">
        <w:rPr>
          <w:rFonts w:hint="eastAsia"/>
        </w:rPr>
        <w:t>技术开发总共支出了310万，确认为无形资产</w:t>
      </w:r>
    </w:p>
    <w:p w:rsidR="00F977E7" w:rsidRDefault="00086D59" w:rsidP="00F977E7">
      <w:pPr>
        <w:pStyle w:val="a6"/>
        <w:spacing w:before="0" w:beforeAutospacing="0" w:after="0" w:afterAutospacing="0" w:line="360" w:lineRule="auto"/>
        <w:ind w:firstLineChars="200" w:firstLine="480"/>
      </w:pPr>
      <w:r>
        <w:rPr>
          <w:rFonts w:hint="eastAsia"/>
        </w:rPr>
        <w:t>商誉为1800万占总资产的比重很小，商誉指的是公司赚取超额盈余的能力。</w:t>
      </w:r>
      <w:r w:rsidR="00A1413F">
        <w:rPr>
          <w:rFonts w:hint="eastAsia"/>
        </w:rPr>
        <w:t>非流动资产合计为104亿，总资产为125亿。</w:t>
      </w:r>
    </w:p>
    <w:p w:rsidR="00A1413F" w:rsidRDefault="00A1413F" w:rsidP="00A1413F">
      <w:pPr>
        <w:pStyle w:val="2"/>
        <w:rPr>
          <w:lang w:eastAsia="zh-CN"/>
        </w:rPr>
      </w:pPr>
      <w:proofErr w:type="spellStart"/>
      <w:r>
        <w:rPr>
          <w:rFonts w:hint="eastAsia"/>
        </w:rPr>
        <w:lastRenderedPageBreak/>
        <w:t>流动负债</w:t>
      </w:r>
      <w:proofErr w:type="spellEnd"/>
    </w:p>
    <w:p w:rsidR="00A1413F" w:rsidRDefault="00A1413F" w:rsidP="00A1413F">
      <w:pPr>
        <w:pStyle w:val="a6"/>
        <w:spacing w:before="0" w:beforeAutospacing="0" w:after="0" w:afterAutospacing="0" w:line="360" w:lineRule="auto"/>
        <w:ind w:firstLineChars="200" w:firstLine="480"/>
      </w:pPr>
      <w:r>
        <w:rPr>
          <w:rFonts w:hint="eastAsia"/>
        </w:rPr>
        <w:t>公司的短期贷款为8.8亿，上半年还为23亿，公司2010年全年利润为14.5亿。明显的下半年还掉了一部分的贷款。从这里来看公司经营还算稳健，基本上利润可以还掉借来的短期贷款，另外公司持有的现金额也和短期贷款持平。预收账款成上升的趋势，这对公司来说是一个好的现象，目前预收账款为1.6亿。</w:t>
      </w:r>
      <w:r w:rsidR="006F252C">
        <w:rPr>
          <w:rFonts w:hint="eastAsia"/>
        </w:rPr>
        <w:t>应付账款9.5亿。</w:t>
      </w:r>
      <w:r w:rsidR="0040281B">
        <w:rPr>
          <w:rFonts w:hint="eastAsia"/>
        </w:rPr>
        <w:t>其他应付</w:t>
      </w:r>
      <w:proofErr w:type="gramStart"/>
      <w:r w:rsidR="0040281B">
        <w:rPr>
          <w:rFonts w:hint="eastAsia"/>
        </w:rPr>
        <w:t>款其中</w:t>
      </w:r>
      <w:proofErr w:type="gramEnd"/>
      <w:r w:rsidR="0040281B">
        <w:rPr>
          <w:rFonts w:hint="eastAsia"/>
        </w:rPr>
        <w:t>包括股票回购的270万。</w:t>
      </w:r>
      <w:r w:rsidR="006F252C">
        <w:rPr>
          <w:rFonts w:hint="eastAsia"/>
        </w:rPr>
        <w:t>流动负债合计为19.8亿。</w:t>
      </w:r>
    </w:p>
    <w:p w:rsidR="006F252C" w:rsidRDefault="006F252C" w:rsidP="006F252C">
      <w:pPr>
        <w:pStyle w:val="2"/>
        <w:rPr>
          <w:lang w:eastAsia="zh-CN"/>
        </w:rPr>
      </w:pPr>
      <w:proofErr w:type="spellStart"/>
      <w:r>
        <w:rPr>
          <w:rFonts w:hint="eastAsia"/>
        </w:rPr>
        <w:t>长期负债</w:t>
      </w:r>
      <w:proofErr w:type="spellEnd"/>
    </w:p>
    <w:p w:rsidR="0040281B" w:rsidRDefault="006F252C" w:rsidP="006F252C">
      <w:pPr>
        <w:pStyle w:val="a6"/>
        <w:spacing w:before="0" w:beforeAutospacing="0" w:after="0" w:afterAutospacing="0" w:line="360" w:lineRule="auto"/>
        <w:ind w:firstLineChars="200" w:firstLine="480"/>
      </w:pPr>
      <w:r>
        <w:rPr>
          <w:rFonts w:hint="eastAsia"/>
        </w:rPr>
        <w:t>公司一直维持有长期借款，目前所欠款项为7.3亿，一般的优秀公司很少会有长期的欠款，因为自己积累的钱就足以供应自己的发展。公司前两年长期欠款较多，我们一般把没有长期欠款的公司称为“0负债公司”。</w:t>
      </w:r>
      <w:r w:rsidR="0040281B">
        <w:rPr>
          <w:rFonts w:hint="eastAsia"/>
        </w:rPr>
        <w:t>公司今年发行的五年期的债券到期所以要付19.8亿的债券费用。</w:t>
      </w:r>
    </w:p>
    <w:p w:rsidR="006F252C" w:rsidRDefault="0040281B" w:rsidP="0040281B">
      <w:pPr>
        <w:pStyle w:val="a6"/>
        <w:spacing w:before="0" w:beforeAutospacing="0" w:after="0" w:afterAutospacing="0" w:line="360" w:lineRule="auto"/>
        <w:ind w:firstLineChars="200" w:firstLine="482"/>
      </w:pPr>
      <w:r w:rsidRPr="0040281B">
        <w:rPr>
          <w:rFonts w:hint="eastAsia"/>
          <w:b/>
        </w:rPr>
        <w:t>该公司一直有回购股票的历史，</w:t>
      </w:r>
      <w:r>
        <w:rPr>
          <w:rFonts w:hint="eastAsia"/>
        </w:rPr>
        <w:t>这一点对与股东来说好处是多方面的。目前公司保有24.8亿的未分配利润。</w:t>
      </w:r>
    </w:p>
    <w:p w:rsidR="00550241" w:rsidRDefault="00550241" w:rsidP="00550241">
      <w:pPr>
        <w:keepNext/>
      </w:pPr>
      <w:r w:rsidRPr="00550241">
        <w:rPr>
          <w:noProof/>
          <w:lang w:eastAsia="zh-CN"/>
        </w:rPr>
        <w:drawing>
          <wp:inline distT="0" distB="0" distL="0" distR="0">
            <wp:extent cx="4997450" cy="2247900"/>
            <wp:effectExtent l="19050" t="0" r="12700" b="0"/>
            <wp:docPr id="1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50241" w:rsidRPr="00550241" w:rsidRDefault="00550241" w:rsidP="00550241">
      <w:pPr>
        <w:pStyle w:val="a3"/>
        <w:rPr>
          <w:lang w:eastAsia="zh-CN"/>
        </w:rPr>
      </w:pPr>
      <w:r>
        <w:rPr>
          <w:rFonts w:hint="eastAsia"/>
          <w:lang w:eastAsia="zh-CN"/>
        </w:rPr>
        <w:t>图表</w:t>
      </w:r>
      <w:r>
        <w:rPr>
          <w:rFonts w:hint="eastAsia"/>
          <w:lang w:eastAsia="zh-CN"/>
        </w:rPr>
        <w:t xml:space="preserve"> </w:t>
      </w:r>
      <w:r w:rsidR="009B3F96">
        <w:fldChar w:fldCharType="begin"/>
      </w:r>
      <w:r>
        <w:rPr>
          <w:lang w:eastAsia="zh-CN"/>
        </w:rPr>
        <w:instrText xml:space="preserve"> </w:instrText>
      </w:r>
      <w:r>
        <w:rPr>
          <w:rFonts w:hint="eastAsia"/>
          <w:lang w:eastAsia="zh-CN"/>
        </w:rPr>
        <w:instrText xml:space="preserve">SEQ </w:instrText>
      </w:r>
      <w:r>
        <w:rPr>
          <w:rFonts w:hint="eastAsia"/>
          <w:lang w:eastAsia="zh-CN"/>
        </w:rPr>
        <w:instrText>图表</w:instrText>
      </w:r>
      <w:r>
        <w:rPr>
          <w:rFonts w:hint="eastAsia"/>
          <w:lang w:eastAsia="zh-CN"/>
        </w:rPr>
        <w:instrText xml:space="preserve"> \* ARABIC</w:instrText>
      </w:r>
      <w:r>
        <w:rPr>
          <w:lang w:eastAsia="zh-CN"/>
        </w:rPr>
        <w:instrText xml:space="preserve"> </w:instrText>
      </w:r>
      <w:r w:rsidR="009B3F96">
        <w:fldChar w:fldCharType="separate"/>
      </w:r>
      <w:r w:rsidR="001838F2">
        <w:rPr>
          <w:noProof/>
          <w:lang w:eastAsia="zh-CN"/>
        </w:rPr>
        <w:t>6</w:t>
      </w:r>
      <w:r w:rsidR="009B3F96">
        <w:fldChar w:fldCharType="end"/>
      </w:r>
      <w:r>
        <w:rPr>
          <w:rFonts w:hint="eastAsia"/>
          <w:lang w:eastAsia="zh-CN"/>
        </w:rPr>
        <w:t xml:space="preserve"> </w:t>
      </w:r>
      <w:r>
        <w:rPr>
          <w:rFonts w:hint="eastAsia"/>
          <w:lang w:eastAsia="zh-CN"/>
        </w:rPr>
        <w:t>南玻营业成本与主营收入</w:t>
      </w:r>
    </w:p>
    <w:p w:rsidR="0040281B" w:rsidRDefault="0040281B" w:rsidP="0040281B">
      <w:pPr>
        <w:pStyle w:val="1"/>
        <w:rPr>
          <w:lang w:eastAsia="zh-CN"/>
        </w:rPr>
      </w:pPr>
      <w:proofErr w:type="spellStart"/>
      <w:r>
        <w:rPr>
          <w:rFonts w:hint="eastAsia"/>
        </w:rPr>
        <w:t>利润情况</w:t>
      </w:r>
      <w:proofErr w:type="spellEnd"/>
    </w:p>
    <w:p w:rsidR="0040281B" w:rsidRDefault="00550241" w:rsidP="00550241">
      <w:pPr>
        <w:pStyle w:val="2"/>
        <w:rPr>
          <w:lang w:eastAsia="zh-CN"/>
        </w:rPr>
      </w:pPr>
      <w:r>
        <w:rPr>
          <w:rFonts w:hint="eastAsia"/>
          <w:lang w:eastAsia="zh-CN"/>
        </w:rPr>
        <w:t>主营收入以及营业成本</w:t>
      </w:r>
    </w:p>
    <w:p w:rsidR="00550241" w:rsidRDefault="00550241" w:rsidP="00550241">
      <w:pPr>
        <w:pStyle w:val="a6"/>
        <w:spacing w:before="0" w:beforeAutospacing="0" w:after="0" w:afterAutospacing="0" w:line="360" w:lineRule="auto"/>
        <w:ind w:firstLineChars="200" w:firstLine="480"/>
      </w:pPr>
      <w:r>
        <w:rPr>
          <w:rFonts w:hint="eastAsia"/>
        </w:rPr>
        <w:t>一</w:t>
      </w:r>
      <w:r w:rsidRPr="00550241">
        <w:rPr>
          <w:rFonts w:hint="eastAsia"/>
        </w:rPr>
        <w:t>个公司的主营收入就是这个公司的生命，南玻2010年的主营收入为77亿</w:t>
      </w:r>
      <w:r w:rsidR="005B6D42">
        <w:rPr>
          <w:rFonts w:hint="eastAsia"/>
        </w:rPr>
        <w:t>，营业成本为49亿。</w:t>
      </w:r>
      <w:r w:rsidRPr="00550241">
        <w:rPr>
          <w:rFonts w:hint="eastAsia"/>
        </w:rPr>
        <w:t>公司稳步增长，图</w:t>
      </w:r>
      <w:r w:rsidR="005B6D42">
        <w:rPr>
          <w:rFonts w:hint="eastAsia"/>
        </w:rPr>
        <w:t>6</w:t>
      </w:r>
      <w:r w:rsidRPr="00550241">
        <w:rPr>
          <w:rFonts w:hint="eastAsia"/>
        </w:rPr>
        <w:t>为公司二十年的营业收入已经营业</w:t>
      </w:r>
      <w:r w:rsidRPr="00550241">
        <w:rPr>
          <w:rFonts w:hint="eastAsia"/>
        </w:rPr>
        <w:lastRenderedPageBreak/>
        <w:t>成本的柱状图。</w:t>
      </w:r>
      <w:r w:rsidR="005B6D42">
        <w:rPr>
          <w:rFonts w:hint="eastAsia"/>
        </w:rPr>
        <w:t>从图中也能够看出，公司稳步成长，同时稳步的背后也能够看出公司是否有利润或者应收突然增加的情况，这类情况要特</w:t>
      </w:r>
      <w:proofErr w:type="gramStart"/>
      <w:r w:rsidR="005B6D42">
        <w:rPr>
          <w:rFonts w:hint="eastAsia"/>
        </w:rPr>
        <w:t>变注意</w:t>
      </w:r>
      <w:proofErr w:type="gramEnd"/>
      <w:r w:rsidR="005B6D42">
        <w:rPr>
          <w:rFonts w:hint="eastAsia"/>
        </w:rPr>
        <w:t>公司财务报表的真实性。</w:t>
      </w:r>
    </w:p>
    <w:p w:rsidR="005B6D42" w:rsidRDefault="005B6D42" w:rsidP="005B6D42">
      <w:pPr>
        <w:pStyle w:val="2"/>
        <w:rPr>
          <w:rFonts w:hint="eastAsia"/>
          <w:lang w:eastAsia="zh-CN"/>
        </w:rPr>
      </w:pPr>
      <w:proofErr w:type="spellStart"/>
      <w:r>
        <w:rPr>
          <w:rFonts w:hint="eastAsia"/>
        </w:rPr>
        <w:t>费用构成及比例</w:t>
      </w:r>
      <w:proofErr w:type="spellEnd"/>
    </w:p>
    <w:p w:rsidR="004122B2" w:rsidRPr="004122B2" w:rsidRDefault="004122B2" w:rsidP="002C1DB8">
      <w:pPr>
        <w:pStyle w:val="a6"/>
        <w:spacing w:before="0" w:beforeAutospacing="0" w:after="0" w:afterAutospacing="0" w:line="360" w:lineRule="auto"/>
        <w:ind w:firstLineChars="200" w:firstLine="480"/>
      </w:pPr>
      <w:r>
        <w:rPr>
          <w:rFonts w:hint="eastAsia"/>
        </w:rPr>
        <w:t>公司各项费用管理费用最高为5.56亿，销售费用次之为2.65亿，销售费用中运输费为1.3亿占到一半。管理费用主要是职工薪金为2.89亿。</w:t>
      </w:r>
      <w:r w:rsidR="002C1DB8">
        <w:rPr>
          <w:rFonts w:hint="eastAsia"/>
        </w:rPr>
        <w:t>财务费用主要是利息支出为1.21亿。图7为</w:t>
      </w:r>
      <w:proofErr w:type="gramStart"/>
      <w:r w:rsidR="002C1DB8">
        <w:rPr>
          <w:rFonts w:hint="eastAsia"/>
        </w:rPr>
        <w:t>最近今年</w:t>
      </w:r>
      <w:proofErr w:type="gramEnd"/>
      <w:r w:rsidR="002C1DB8">
        <w:rPr>
          <w:rFonts w:hint="eastAsia"/>
        </w:rPr>
        <w:t>的各项费用。</w:t>
      </w:r>
    </w:p>
    <w:p w:rsidR="002C1DB8" w:rsidRDefault="004122B2" w:rsidP="002C1DB8">
      <w:pPr>
        <w:keepNext/>
      </w:pPr>
      <w:r w:rsidRPr="004122B2">
        <w:rPr>
          <w:lang w:eastAsia="zh-CN"/>
        </w:rPr>
        <w:drawing>
          <wp:inline distT="0" distB="0" distL="0" distR="0">
            <wp:extent cx="5308600" cy="2368550"/>
            <wp:effectExtent l="19050" t="0" r="25400" b="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42EF0" w:rsidRPr="00842EF0" w:rsidRDefault="002C1DB8" w:rsidP="002C1DB8">
      <w:pPr>
        <w:pStyle w:val="a3"/>
        <w:rPr>
          <w:rFonts w:hint="eastAsia"/>
          <w:lang w:eastAsia="zh-CN"/>
        </w:rPr>
      </w:pPr>
      <w:r>
        <w:rPr>
          <w:rFonts w:hint="eastAsia"/>
          <w:lang w:eastAsia="zh-CN"/>
        </w:rPr>
        <w:t>图表</w:t>
      </w:r>
      <w:r>
        <w:rPr>
          <w:rFonts w:hint="eastAsia"/>
          <w:lang w:eastAsia="zh-CN"/>
        </w:rPr>
        <w:t xml:space="preserve"> </w:t>
      </w:r>
      <w:r>
        <w:fldChar w:fldCharType="begin"/>
      </w:r>
      <w:r>
        <w:rPr>
          <w:lang w:eastAsia="zh-CN"/>
        </w:rPr>
        <w:instrText xml:space="preserve"> </w:instrText>
      </w:r>
      <w:r>
        <w:rPr>
          <w:rFonts w:hint="eastAsia"/>
          <w:lang w:eastAsia="zh-CN"/>
        </w:rPr>
        <w:instrText xml:space="preserve">SEQ </w:instrText>
      </w:r>
      <w:r>
        <w:rPr>
          <w:rFonts w:hint="eastAsia"/>
          <w:lang w:eastAsia="zh-CN"/>
        </w:rPr>
        <w:instrText>图表</w:instrText>
      </w:r>
      <w:r>
        <w:rPr>
          <w:rFonts w:hint="eastAsia"/>
          <w:lang w:eastAsia="zh-CN"/>
        </w:rPr>
        <w:instrText xml:space="preserve"> \* ARABIC</w:instrText>
      </w:r>
      <w:r>
        <w:rPr>
          <w:lang w:eastAsia="zh-CN"/>
        </w:rPr>
        <w:instrText xml:space="preserve"> </w:instrText>
      </w:r>
      <w:r>
        <w:fldChar w:fldCharType="separate"/>
      </w:r>
      <w:r w:rsidR="001838F2">
        <w:rPr>
          <w:noProof/>
          <w:lang w:eastAsia="zh-CN"/>
        </w:rPr>
        <w:t>7</w:t>
      </w:r>
      <w:r>
        <w:fldChar w:fldCharType="end"/>
      </w:r>
      <w:r>
        <w:rPr>
          <w:rFonts w:hint="eastAsia"/>
          <w:lang w:eastAsia="zh-CN"/>
        </w:rPr>
        <w:t xml:space="preserve"> </w:t>
      </w:r>
      <w:r>
        <w:rPr>
          <w:rFonts w:hint="eastAsia"/>
          <w:lang w:eastAsia="zh-CN"/>
        </w:rPr>
        <w:t>各项费用</w:t>
      </w:r>
    </w:p>
    <w:p w:rsidR="0040281B" w:rsidRDefault="002C1DB8" w:rsidP="006F252C">
      <w:pPr>
        <w:pStyle w:val="a6"/>
        <w:spacing w:before="0" w:beforeAutospacing="0" w:after="0" w:afterAutospacing="0" w:line="360" w:lineRule="auto"/>
        <w:ind w:firstLineChars="200" w:firstLine="480"/>
        <w:rPr>
          <w:rFonts w:hint="eastAsia"/>
        </w:rPr>
      </w:pPr>
      <w:r>
        <w:rPr>
          <w:rFonts w:hint="eastAsia"/>
        </w:rPr>
        <w:t>2010年管理费用率为7%，相比较而言管理费用偏高。财务费用率为5%</w:t>
      </w:r>
      <w:r w:rsidR="001C51F7">
        <w:rPr>
          <w:rFonts w:hint="eastAsia"/>
        </w:rPr>
        <w:t>同样偏高。</w:t>
      </w:r>
    </w:p>
    <w:p w:rsidR="001C51F7" w:rsidRDefault="001C51F7" w:rsidP="001C51F7">
      <w:pPr>
        <w:pStyle w:val="2"/>
        <w:rPr>
          <w:rFonts w:hint="eastAsia"/>
          <w:lang w:eastAsia="zh-CN"/>
        </w:rPr>
      </w:pPr>
      <w:proofErr w:type="spellStart"/>
      <w:r>
        <w:rPr>
          <w:rFonts w:hint="eastAsia"/>
        </w:rPr>
        <w:t>净利润及其复合增长率</w:t>
      </w:r>
      <w:proofErr w:type="spellEnd"/>
    </w:p>
    <w:p w:rsidR="001C51F7" w:rsidRDefault="001C51F7" w:rsidP="00110169">
      <w:pPr>
        <w:pStyle w:val="a6"/>
        <w:spacing w:before="0" w:beforeAutospacing="0" w:after="0" w:afterAutospacing="0" w:line="360" w:lineRule="auto"/>
        <w:ind w:firstLineChars="200" w:firstLine="480"/>
        <w:rPr>
          <w:rFonts w:hint="eastAsia"/>
        </w:rPr>
      </w:pPr>
      <w:r>
        <w:rPr>
          <w:rFonts w:hint="eastAsia"/>
        </w:rPr>
        <w:t>公司10年净利润为14.6亿，公司二十年的净利润如图8所示。</w:t>
      </w:r>
    </w:p>
    <w:p w:rsidR="001C51F7" w:rsidRDefault="001C51F7" w:rsidP="001C51F7">
      <w:pPr>
        <w:keepNext/>
      </w:pPr>
      <w:r w:rsidRPr="001C51F7">
        <w:rPr>
          <w:lang w:eastAsia="zh-CN"/>
        </w:rPr>
        <w:drawing>
          <wp:inline distT="0" distB="0" distL="0" distR="0">
            <wp:extent cx="4832350" cy="2139950"/>
            <wp:effectExtent l="19050" t="0" r="25400" b="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C51F7" w:rsidRDefault="001C51F7" w:rsidP="00627ADE">
      <w:pPr>
        <w:pStyle w:val="a3"/>
        <w:rPr>
          <w:rFonts w:hint="eastAsia"/>
          <w:lang w:eastAsia="zh-CN"/>
        </w:rPr>
      </w:pPr>
      <w:r>
        <w:rPr>
          <w:rFonts w:hint="eastAsia"/>
          <w:lang w:eastAsia="zh-CN"/>
        </w:rPr>
        <w:t>图表</w:t>
      </w:r>
      <w:r>
        <w:rPr>
          <w:rFonts w:hint="eastAsia"/>
          <w:lang w:eastAsia="zh-CN"/>
        </w:rPr>
        <w:t xml:space="preserve"> </w:t>
      </w:r>
      <w:r>
        <w:fldChar w:fldCharType="begin"/>
      </w:r>
      <w:r>
        <w:rPr>
          <w:lang w:eastAsia="zh-CN"/>
        </w:rPr>
        <w:instrText xml:space="preserve"> </w:instrText>
      </w:r>
      <w:r>
        <w:rPr>
          <w:rFonts w:hint="eastAsia"/>
          <w:lang w:eastAsia="zh-CN"/>
        </w:rPr>
        <w:instrText xml:space="preserve">SEQ </w:instrText>
      </w:r>
      <w:r>
        <w:rPr>
          <w:rFonts w:hint="eastAsia"/>
          <w:lang w:eastAsia="zh-CN"/>
        </w:rPr>
        <w:instrText>图表</w:instrText>
      </w:r>
      <w:r>
        <w:rPr>
          <w:rFonts w:hint="eastAsia"/>
          <w:lang w:eastAsia="zh-CN"/>
        </w:rPr>
        <w:instrText xml:space="preserve"> \* ARABIC</w:instrText>
      </w:r>
      <w:r>
        <w:rPr>
          <w:lang w:eastAsia="zh-CN"/>
        </w:rPr>
        <w:instrText xml:space="preserve"> </w:instrText>
      </w:r>
      <w:r>
        <w:fldChar w:fldCharType="separate"/>
      </w:r>
      <w:r w:rsidR="001838F2">
        <w:rPr>
          <w:noProof/>
          <w:lang w:eastAsia="zh-CN"/>
        </w:rPr>
        <w:t>8</w:t>
      </w:r>
      <w:r>
        <w:fldChar w:fldCharType="end"/>
      </w:r>
      <w:r w:rsidR="00627ADE">
        <w:rPr>
          <w:rFonts w:hint="eastAsia"/>
          <w:lang w:eastAsia="zh-CN"/>
        </w:rPr>
        <w:t xml:space="preserve"> </w:t>
      </w:r>
      <w:r w:rsidR="00627ADE">
        <w:rPr>
          <w:rFonts w:hint="eastAsia"/>
          <w:lang w:eastAsia="zh-CN"/>
        </w:rPr>
        <w:t>净利润二十年的情况</w:t>
      </w:r>
    </w:p>
    <w:p w:rsidR="00627ADE" w:rsidRPr="00627ADE" w:rsidRDefault="00627ADE" w:rsidP="00110169">
      <w:pPr>
        <w:pStyle w:val="a6"/>
        <w:spacing w:before="0" w:beforeAutospacing="0" w:after="0" w:afterAutospacing="0" w:line="360" w:lineRule="auto"/>
        <w:rPr>
          <w:rFonts w:hint="eastAsia"/>
        </w:rPr>
      </w:pPr>
      <w:r>
        <w:rPr>
          <w:rFonts w:hint="eastAsia"/>
        </w:rPr>
        <w:lastRenderedPageBreak/>
        <w:t>公司净利润复合增长率</w:t>
      </w:r>
      <w:r w:rsidR="00110169">
        <w:rPr>
          <w:rFonts w:hint="eastAsia"/>
        </w:rPr>
        <w:t>26%。</w:t>
      </w:r>
    </w:p>
    <w:p w:rsidR="001C51F7" w:rsidRDefault="00110169" w:rsidP="00110169">
      <w:pPr>
        <w:pStyle w:val="1"/>
        <w:rPr>
          <w:rFonts w:hint="eastAsia"/>
          <w:lang w:eastAsia="zh-CN"/>
        </w:rPr>
      </w:pPr>
      <w:r>
        <w:rPr>
          <w:rFonts w:hint="eastAsia"/>
          <w:lang w:eastAsia="zh-CN"/>
        </w:rPr>
        <w:t>现金流情况</w:t>
      </w:r>
    </w:p>
    <w:p w:rsidR="001838F2" w:rsidRPr="001838F2" w:rsidRDefault="001838F2" w:rsidP="00C10629">
      <w:pPr>
        <w:pStyle w:val="a6"/>
        <w:spacing w:before="0" w:beforeAutospacing="0" w:after="0" w:afterAutospacing="0" w:line="360" w:lineRule="auto"/>
        <w:ind w:firstLineChars="200" w:firstLine="480"/>
        <w:rPr>
          <w:rFonts w:hint="eastAsia"/>
        </w:rPr>
      </w:pPr>
      <w:r>
        <w:rPr>
          <w:rFonts w:hint="eastAsia"/>
        </w:rPr>
        <w:t>公司每年主要的现金流量都为筹资活动产生的现金流量。虽然今年的净利润多，但经营活动产生的现金流量并不多。</w:t>
      </w:r>
    </w:p>
    <w:p w:rsidR="001838F2" w:rsidRDefault="001838F2" w:rsidP="001838F2">
      <w:pPr>
        <w:keepNext/>
      </w:pPr>
      <w:r w:rsidRPr="001838F2">
        <w:rPr>
          <w:lang w:eastAsia="zh-CN"/>
        </w:rPr>
        <w:drawing>
          <wp:inline distT="0" distB="0" distL="0" distR="0">
            <wp:extent cx="5149850" cy="3371850"/>
            <wp:effectExtent l="19050" t="0" r="12700" b="0"/>
            <wp:docPr id="1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10169" w:rsidRDefault="001838F2" w:rsidP="00C10629">
      <w:pPr>
        <w:pStyle w:val="a3"/>
        <w:rPr>
          <w:rFonts w:hint="eastAsia"/>
          <w:lang w:eastAsia="zh-CN"/>
        </w:rPr>
      </w:pPr>
      <w:r>
        <w:rPr>
          <w:rFonts w:hint="eastAsia"/>
          <w:lang w:eastAsia="zh-CN"/>
        </w:rPr>
        <w:t>图表</w:t>
      </w:r>
      <w:r>
        <w:rPr>
          <w:rFonts w:hint="eastAsia"/>
          <w:lang w:eastAsia="zh-CN"/>
        </w:rPr>
        <w:t xml:space="preserve"> </w:t>
      </w:r>
      <w:r>
        <w:fldChar w:fldCharType="begin"/>
      </w:r>
      <w:r>
        <w:rPr>
          <w:lang w:eastAsia="zh-CN"/>
        </w:rPr>
        <w:instrText xml:space="preserve"> </w:instrText>
      </w:r>
      <w:r>
        <w:rPr>
          <w:rFonts w:hint="eastAsia"/>
          <w:lang w:eastAsia="zh-CN"/>
        </w:rPr>
        <w:instrText xml:space="preserve">SEQ </w:instrText>
      </w:r>
      <w:r>
        <w:rPr>
          <w:rFonts w:hint="eastAsia"/>
          <w:lang w:eastAsia="zh-CN"/>
        </w:rPr>
        <w:instrText>图表</w:instrText>
      </w:r>
      <w:r>
        <w:rPr>
          <w:rFonts w:hint="eastAsia"/>
          <w:lang w:eastAsia="zh-CN"/>
        </w:rPr>
        <w:instrText xml:space="preserve"> \* ARABIC</w:instrText>
      </w:r>
      <w:r>
        <w:rPr>
          <w:lang w:eastAsia="zh-CN"/>
        </w:rPr>
        <w:instrText xml:space="preserve"> </w:instrText>
      </w:r>
      <w:r>
        <w:fldChar w:fldCharType="separate"/>
      </w:r>
      <w:r>
        <w:rPr>
          <w:noProof/>
          <w:lang w:eastAsia="zh-CN"/>
        </w:rPr>
        <w:t>9</w:t>
      </w:r>
      <w:r>
        <w:fldChar w:fldCharType="end"/>
      </w:r>
      <w:r>
        <w:rPr>
          <w:rFonts w:hint="eastAsia"/>
          <w:lang w:eastAsia="zh-CN"/>
        </w:rPr>
        <w:t xml:space="preserve"> </w:t>
      </w:r>
      <w:r>
        <w:rPr>
          <w:rFonts w:hint="eastAsia"/>
          <w:lang w:eastAsia="zh-CN"/>
        </w:rPr>
        <w:t>现金流量表</w:t>
      </w:r>
    </w:p>
    <w:p w:rsidR="001838F2" w:rsidRDefault="00C10629" w:rsidP="00C10629">
      <w:pPr>
        <w:pStyle w:val="a6"/>
        <w:spacing w:before="0" w:beforeAutospacing="0" w:after="0" w:afterAutospacing="0" w:line="360" w:lineRule="auto"/>
        <w:ind w:firstLineChars="200" w:firstLine="480"/>
        <w:rPr>
          <w:rFonts w:hint="eastAsia"/>
        </w:rPr>
      </w:pPr>
      <w:r>
        <w:rPr>
          <w:rFonts w:hint="eastAsia"/>
        </w:rPr>
        <w:t>2010年的经营现金流为23.6亿，在整个现金流量表中值得注意的是购置固定资产的支出，今年的这笔支出为20亿公司仅产生的利润为14.6亿，公司在08年曾经有一笔26亿的固定资产投资额。应该提请投资者注意。</w:t>
      </w:r>
    </w:p>
    <w:p w:rsidR="00C10629" w:rsidRDefault="000F6DE5" w:rsidP="000F6DE5">
      <w:pPr>
        <w:pStyle w:val="1"/>
        <w:rPr>
          <w:rFonts w:hint="eastAsia"/>
          <w:lang w:eastAsia="zh-CN"/>
        </w:rPr>
      </w:pPr>
      <w:proofErr w:type="spellStart"/>
      <w:r>
        <w:rPr>
          <w:rFonts w:hint="eastAsia"/>
        </w:rPr>
        <w:t>员工结构以及效率</w:t>
      </w:r>
      <w:proofErr w:type="spellEnd"/>
    </w:p>
    <w:p w:rsidR="000F6DE5" w:rsidRDefault="000F6DE5" w:rsidP="000F6DE5">
      <w:pPr>
        <w:pStyle w:val="a6"/>
        <w:spacing w:before="0" w:beforeAutospacing="0" w:after="0" w:afterAutospacing="0" w:line="360" w:lineRule="auto"/>
        <w:ind w:firstLineChars="200" w:firstLine="480"/>
        <w:rPr>
          <w:rFonts w:hint="eastAsia"/>
        </w:rPr>
      </w:pPr>
      <w:r>
        <w:rPr>
          <w:rFonts w:hint="eastAsia"/>
        </w:rPr>
        <w:t>公司目前总人工数为11719人，公司主营收入为77.44亿，平均每人每天的营收为1810元，A股平均为2619元，平均的净利润为341元，A股平均为124元。员工效率较高。在员工结构中生产人员占76.95%，技术人员10.44%，行政人员5.33%，销售人员6.05%以及财务人员1.23%。</w:t>
      </w:r>
    </w:p>
    <w:p w:rsidR="000F6DE5" w:rsidRDefault="001F2CB1" w:rsidP="001F2CB1">
      <w:pPr>
        <w:pStyle w:val="1"/>
        <w:rPr>
          <w:rFonts w:hint="eastAsia"/>
          <w:lang w:eastAsia="zh-CN"/>
        </w:rPr>
      </w:pPr>
      <w:proofErr w:type="spellStart"/>
      <w:r>
        <w:rPr>
          <w:rFonts w:hint="eastAsia"/>
        </w:rPr>
        <w:t>股东变化情况</w:t>
      </w:r>
      <w:proofErr w:type="spellEnd"/>
    </w:p>
    <w:p w:rsidR="001F2CB1" w:rsidRDefault="001F2CB1" w:rsidP="001F2CB1">
      <w:pPr>
        <w:pStyle w:val="a6"/>
        <w:spacing w:before="0" w:beforeAutospacing="0" w:after="0" w:afterAutospacing="0" w:line="360" w:lineRule="auto"/>
        <w:ind w:firstLineChars="200" w:firstLine="480"/>
        <w:rPr>
          <w:rFonts w:hint="eastAsia"/>
        </w:rPr>
      </w:pPr>
      <w:r>
        <w:rPr>
          <w:rFonts w:hint="eastAsia"/>
        </w:rPr>
        <w:t>股东基本无变化，从股东人数来看目前有分散的趋势。提请注意投资风险。</w:t>
      </w:r>
    </w:p>
    <w:p w:rsidR="001F2CB1" w:rsidRDefault="001F2CB1" w:rsidP="001F2CB1">
      <w:pPr>
        <w:pStyle w:val="1"/>
        <w:rPr>
          <w:rFonts w:hint="eastAsia"/>
          <w:lang w:eastAsia="zh-CN"/>
        </w:rPr>
      </w:pPr>
      <w:r>
        <w:rPr>
          <w:rFonts w:hint="eastAsia"/>
          <w:lang w:eastAsia="zh-CN"/>
        </w:rPr>
        <w:lastRenderedPageBreak/>
        <w:t>高管介绍</w:t>
      </w:r>
    </w:p>
    <w:p w:rsidR="007B6597" w:rsidRDefault="001F2CB1" w:rsidP="007B6597">
      <w:pPr>
        <w:pStyle w:val="a6"/>
        <w:spacing w:before="0" w:beforeAutospacing="0" w:after="0" w:afterAutospacing="0" w:line="360" w:lineRule="auto"/>
        <w:ind w:firstLineChars="200" w:firstLine="480"/>
        <w:rPr>
          <w:rFonts w:hint="eastAsia"/>
        </w:rPr>
      </w:pPr>
      <w:r w:rsidRPr="001F2CB1">
        <w:t>曾南：历任本公司董事总经理、董事总裁、副董事长，现任本公司董事长兼首席</w:t>
      </w:r>
      <w:r w:rsidR="007B6597">
        <w:t>执行官</w:t>
      </w:r>
    </w:p>
    <w:p w:rsidR="001F2CB1" w:rsidRDefault="001F2CB1" w:rsidP="007B6597">
      <w:pPr>
        <w:pStyle w:val="a6"/>
        <w:spacing w:before="0" w:beforeAutospacing="0" w:after="0" w:afterAutospacing="0" w:line="360" w:lineRule="auto"/>
        <w:ind w:firstLineChars="200" w:firstLine="480"/>
      </w:pPr>
      <w:r w:rsidRPr="001F2CB1">
        <w:t xml:space="preserve">陈潮：历任原怡万实业发展（深圳）有限公司董事长、新通产实业开发（深圳）有限公司董事长、深圳高速公路股份有限公司董事长、深圳国际控股有限公司副主席兼总裁、本公司董事长、深圳市天健（集团）股份有限公司董事长、深圳联合产权交易所有限公司董事长，现任深圳高速工程顾问有限公司董事。 </w:t>
      </w:r>
      <w:r w:rsidRPr="001F2CB1">
        <w:br/>
        <w:t>王天广：历任深圳证监局上市公司监管处副处长、银河证券深圳投行部总经理，</w:t>
      </w:r>
      <w:r w:rsidRPr="001F2CB1">
        <w:br/>
        <w:t xml:space="preserve">现任西南证券投资银行事业部执行总裁。 </w:t>
      </w:r>
    </w:p>
    <w:p w:rsidR="007B6597" w:rsidRDefault="001F2CB1" w:rsidP="001F2CB1">
      <w:pPr>
        <w:pStyle w:val="a6"/>
        <w:spacing w:before="0" w:beforeAutospacing="0" w:after="0" w:afterAutospacing="0" w:line="360" w:lineRule="auto"/>
        <w:ind w:firstLineChars="200" w:firstLine="480"/>
        <w:rPr>
          <w:rFonts w:hint="eastAsia"/>
        </w:rPr>
      </w:pPr>
      <w:r w:rsidRPr="001F2CB1">
        <w:t>谢如东： 历任广东国际信托投资公司首席律师、 香港孖士</w:t>
      </w:r>
      <w:proofErr w:type="gramStart"/>
      <w:r w:rsidRPr="001F2CB1">
        <w:t>打律师</w:t>
      </w:r>
      <w:proofErr w:type="gramEnd"/>
      <w:r w:rsidRPr="001F2CB1">
        <w:t>行中国法律顾问、中国法律与投资公司董事总经理、金东金融与投资有限公司董事总经理、京泰证券与投资有限公司董事总经理、富万资产管理有限公司董事总经理，现任泰然资本管理有限公司总裁。</w:t>
      </w:r>
    </w:p>
    <w:p w:rsidR="007B6597" w:rsidRDefault="001F2CB1" w:rsidP="007B6597">
      <w:pPr>
        <w:pStyle w:val="a6"/>
        <w:spacing w:before="0" w:beforeAutospacing="0" w:after="0" w:afterAutospacing="0" w:line="360" w:lineRule="auto"/>
        <w:ind w:firstLineChars="200" w:firstLine="480"/>
        <w:rPr>
          <w:rFonts w:hint="eastAsia"/>
        </w:rPr>
      </w:pPr>
      <w:r w:rsidRPr="001F2CB1">
        <w:t>李景奇：历任深圳国际控股有限公司副总裁、 深圳市西部物流有限公司监事、本公司董事长，现除在公司股东单位及其他关联单位的任职外，亦任深圳高速公路股份有限公司董事。</w:t>
      </w:r>
    </w:p>
    <w:p w:rsidR="007B6597" w:rsidRDefault="001F2CB1" w:rsidP="007B6597">
      <w:pPr>
        <w:pStyle w:val="a6"/>
        <w:spacing w:before="0" w:beforeAutospacing="0" w:after="0" w:afterAutospacing="0" w:line="360" w:lineRule="auto"/>
        <w:ind w:firstLineChars="200" w:firstLine="480"/>
        <w:rPr>
          <w:rFonts w:hint="eastAsia"/>
        </w:rPr>
      </w:pPr>
      <w:r w:rsidRPr="001F2CB1">
        <w:t>严纲</w:t>
      </w:r>
      <w:proofErr w:type="gramStart"/>
      <w:r w:rsidRPr="001F2CB1">
        <w:t>纲</w:t>
      </w:r>
      <w:proofErr w:type="gramEnd"/>
      <w:r w:rsidRPr="001F2CB1">
        <w:t>： 历任广东梁与严律师事务所法定代表人， 现任广东中圳律师事务所律师。</w:t>
      </w:r>
    </w:p>
    <w:p w:rsidR="007B6597" w:rsidRDefault="001F2CB1" w:rsidP="007B6597">
      <w:pPr>
        <w:pStyle w:val="a6"/>
        <w:spacing w:before="0" w:beforeAutospacing="0" w:after="0" w:afterAutospacing="0" w:line="360" w:lineRule="auto"/>
        <w:ind w:firstLineChars="200" w:firstLine="480"/>
        <w:rPr>
          <w:rFonts w:hint="eastAsia"/>
        </w:rPr>
      </w:pPr>
      <w:r w:rsidRPr="001F2CB1">
        <w:t xml:space="preserve">郭永春： 历任中国北方工业公司经营管理处处长、 </w:t>
      </w:r>
      <w:r w:rsidR="007B6597">
        <w:t>中国北方工业公司信息部主任</w:t>
      </w:r>
      <w:r w:rsidR="007B6597">
        <w:rPr>
          <w:rFonts w:hint="eastAsia"/>
        </w:rPr>
        <w:t>、</w:t>
      </w:r>
      <w:r w:rsidRPr="001F2CB1">
        <w:t>北方展览广告公司总经理、中国北方工业公司投资二部总经理兼成都银河王朝大酒店有限公司董事长，现在股东单位中国北方工业公司任投资经营部经理。</w:t>
      </w:r>
    </w:p>
    <w:p w:rsidR="007B6597" w:rsidRDefault="001F2CB1" w:rsidP="007B6597">
      <w:pPr>
        <w:pStyle w:val="a6"/>
        <w:spacing w:before="0" w:beforeAutospacing="0" w:after="0" w:afterAutospacing="0" w:line="360" w:lineRule="auto"/>
        <w:ind w:firstLineChars="200" w:firstLine="480"/>
        <w:rPr>
          <w:rFonts w:hint="eastAsia"/>
        </w:rPr>
      </w:pPr>
      <w:r w:rsidRPr="001F2CB1">
        <w:t>张礼庆：历任中国平安保险股份有限公司产险财务部副总经理、中国平安保险股份有限公司寿险财务部总经理、中国平安保险股份有限公司战略发展中心副主任、平安证券有限责任公司副总经理， 现在股东单位平安信托投资有限责任公司任副总经理。</w:t>
      </w:r>
    </w:p>
    <w:p w:rsidR="007B6597" w:rsidRDefault="001F2CB1" w:rsidP="007B6597">
      <w:pPr>
        <w:pStyle w:val="a6"/>
        <w:spacing w:before="0" w:beforeAutospacing="0" w:after="0" w:afterAutospacing="0" w:line="360" w:lineRule="auto"/>
        <w:ind w:firstLineChars="200" w:firstLine="480"/>
        <w:rPr>
          <w:rFonts w:hint="eastAsia"/>
        </w:rPr>
      </w:pPr>
      <w:r w:rsidRPr="001F2CB1">
        <w:t>吴国</w:t>
      </w:r>
      <w:proofErr w:type="gramStart"/>
      <w:r w:rsidRPr="001F2CB1">
        <w:t>斌</w:t>
      </w:r>
      <w:proofErr w:type="gramEnd"/>
      <w:r w:rsidRPr="001F2CB1">
        <w:t>：历任本公司总经理助理，现任本公司董事、董事会秘书、副总裁兼工程玻璃事业部总裁，亦任广东金刚玻璃科技股份有限公司董事。</w:t>
      </w:r>
    </w:p>
    <w:p w:rsidR="001F2CB1" w:rsidRDefault="001F2CB1" w:rsidP="007B6597">
      <w:pPr>
        <w:pStyle w:val="a6"/>
        <w:spacing w:before="0" w:beforeAutospacing="0" w:after="0" w:afterAutospacing="0" w:line="360" w:lineRule="auto"/>
        <w:ind w:firstLineChars="200" w:firstLine="480"/>
      </w:pPr>
      <w:r w:rsidRPr="001F2CB1">
        <w:lastRenderedPageBreak/>
        <w:t>杨海：历任深圳高速公路股份有限公司副总经理、原怡万实业发展（深圳）有限公司董事总经理、深圳国际控股有限公司副总裁，现除在公司股东单位及其他关联单</w:t>
      </w:r>
      <w:r w:rsidR="007B6597" w:rsidRPr="007B6597">
        <w:t>位的任职外，亦任深圳高速公路股份有限公司董事长。</w:t>
      </w:r>
    </w:p>
    <w:p w:rsidR="007B6597" w:rsidRDefault="001F2CB1" w:rsidP="001F2CB1">
      <w:pPr>
        <w:pStyle w:val="a6"/>
        <w:spacing w:before="0" w:beforeAutospacing="0" w:after="0" w:afterAutospacing="0" w:line="360" w:lineRule="auto"/>
        <w:ind w:firstLineChars="200" w:firstLine="480"/>
        <w:rPr>
          <w:rFonts w:hint="eastAsia"/>
        </w:rPr>
      </w:pPr>
      <w:r w:rsidRPr="001F2CB1">
        <w:t>张东骏：曾任职于中信证券股份有限公司计划财务部、经纪业务部，现任股东单位中信证券股份有限公司资金运营部执行总监。</w:t>
      </w:r>
    </w:p>
    <w:p w:rsidR="007B6597" w:rsidRDefault="001F2CB1" w:rsidP="001F2CB1">
      <w:pPr>
        <w:pStyle w:val="a6"/>
        <w:spacing w:before="0" w:beforeAutospacing="0" w:after="0" w:afterAutospacing="0" w:line="360" w:lineRule="auto"/>
        <w:ind w:firstLineChars="200" w:firstLine="480"/>
        <w:rPr>
          <w:rFonts w:hint="eastAsia"/>
        </w:rPr>
      </w:pPr>
      <w:r w:rsidRPr="001F2CB1">
        <w:t>孙静云：历任广州铁路集团公司羊城铁路总公司佛山车站客运主任、广东三茂铁路股份有限公司佛山车站副站长并主持全面工作，现任本公司总裁办公室主任。</w:t>
      </w:r>
    </w:p>
    <w:p w:rsidR="007B6597" w:rsidRDefault="001F2CB1" w:rsidP="001F2CB1">
      <w:pPr>
        <w:pStyle w:val="a6"/>
        <w:spacing w:before="0" w:beforeAutospacing="0" w:after="0" w:afterAutospacing="0" w:line="360" w:lineRule="auto"/>
        <w:ind w:firstLineChars="200" w:firstLine="480"/>
        <w:rPr>
          <w:rFonts w:hint="eastAsia"/>
        </w:rPr>
      </w:pPr>
      <w:r w:rsidRPr="001F2CB1">
        <w:t>罗友明：历任本公司助理财务总监，现任本公司财务总监。</w:t>
      </w:r>
    </w:p>
    <w:p w:rsidR="007B6597" w:rsidRDefault="001F2CB1" w:rsidP="001F2CB1">
      <w:pPr>
        <w:pStyle w:val="a6"/>
        <w:spacing w:before="0" w:beforeAutospacing="0" w:after="0" w:afterAutospacing="0" w:line="360" w:lineRule="auto"/>
        <w:ind w:firstLineChars="200" w:firstLine="480"/>
        <w:rPr>
          <w:rFonts w:hint="eastAsia"/>
        </w:rPr>
      </w:pPr>
      <w:r w:rsidRPr="001F2CB1">
        <w:t>柯汉奇：历任本公司精细玻璃事业部总经理， 现任本公司副总裁兼太阳能事业部总裁。</w:t>
      </w:r>
    </w:p>
    <w:p w:rsidR="007B6597" w:rsidRDefault="001F2CB1" w:rsidP="001F2CB1">
      <w:pPr>
        <w:pStyle w:val="a6"/>
        <w:spacing w:before="0" w:beforeAutospacing="0" w:after="0" w:afterAutospacing="0" w:line="360" w:lineRule="auto"/>
        <w:ind w:firstLineChars="200" w:firstLine="480"/>
        <w:rPr>
          <w:rFonts w:hint="eastAsia"/>
        </w:rPr>
      </w:pPr>
      <w:r w:rsidRPr="001F2CB1">
        <w:t>张凡：历任深圳南玻电子有限公司总经理、深圳南玻浮法玻璃有限公司总经理、本公司浮法玻璃事业部总经理、本公司总裁助理，现任本公司副总裁兼平板玻璃事业部总裁。</w:t>
      </w:r>
    </w:p>
    <w:p w:rsidR="007B6597" w:rsidRDefault="001F2CB1" w:rsidP="001F2CB1">
      <w:pPr>
        <w:pStyle w:val="a6"/>
        <w:spacing w:before="0" w:beforeAutospacing="0" w:after="0" w:afterAutospacing="0" w:line="360" w:lineRule="auto"/>
        <w:ind w:firstLineChars="200" w:firstLine="480"/>
        <w:rPr>
          <w:rFonts w:hint="eastAsia"/>
        </w:rPr>
      </w:pPr>
      <w:r w:rsidRPr="001F2CB1">
        <w:t>卢文辉：历任本公司太阳能事业部和精细玻璃及陶瓷事业部副总裁、总经济师、总裁助理，现任本公司副总裁兼精细玻璃事业部总裁，兼任深圳南玻显示器件科技有限公司总经理、深圳新视界光电技术有限公司总经理。</w:t>
      </w:r>
    </w:p>
    <w:p w:rsidR="001F2CB1" w:rsidRDefault="001F2CB1" w:rsidP="007B6597">
      <w:pPr>
        <w:pStyle w:val="a6"/>
        <w:spacing w:before="0" w:beforeAutospacing="0" w:after="0" w:afterAutospacing="0" w:line="360" w:lineRule="auto"/>
        <w:ind w:firstLineChars="200" w:firstLine="480"/>
        <w:rPr>
          <w:rFonts w:hint="eastAsia"/>
        </w:rPr>
      </w:pPr>
      <w:proofErr w:type="gramStart"/>
      <w:r w:rsidRPr="001F2CB1">
        <w:t>丁九如</w:t>
      </w:r>
      <w:proofErr w:type="gramEnd"/>
      <w:r w:rsidRPr="001F2CB1">
        <w:t>：历任中国北方工业深圳公司副总经理、总会计师，本公司董事、财务部经理、总经济师。现任本公司副总裁。</w:t>
      </w:r>
    </w:p>
    <w:p w:rsidR="001661E6" w:rsidRDefault="001661E6" w:rsidP="001661E6">
      <w:pPr>
        <w:pStyle w:val="1"/>
        <w:rPr>
          <w:rFonts w:hint="eastAsia"/>
          <w:lang w:eastAsia="zh-CN"/>
        </w:rPr>
      </w:pPr>
      <w:proofErr w:type="spellStart"/>
      <w:r>
        <w:rPr>
          <w:rFonts w:hint="eastAsia"/>
        </w:rPr>
        <w:t>估值</w:t>
      </w:r>
      <w:proofErr w:type="spellEnd"/>
    </w:p>
    <w:p w:rsidR="001661E6" w:rsidRPr="001661E6" w:rsidRDefault="001661E6" w:rsidP="001661E6">
      <w:pPr>
        <w:rPr>
          <w:lang w:eastAsia="zh-CN"/>
        </w:rPr>
      </w:pPr>
      <w:r>
        <w:rPr>
          <w:rFonts w:hint="eastAsia"/>
          <w:lang w:eastAsia="zh-CN"/>
        </w:rPr>
        <w:t>采用</w:t>
      </w:r>
      <w:proofErr w:type="gramStart"/>
      <w:r>
        <w:rPr>
          <w:rFonts w:hint="eastAsia"/>
          <w:lang w:eastAsia="zh-CN"/>
        </w:rPr>
        <w:t>爱股网估值</w:t>
      </w:r>
      <w:proofErr w:type="gramEnd"/>
      <w:r>
        <w:rPr>
          <w:rFonts w:hint="eastAsia"/>
          <w:lang w:eastAsia="zh-CN"/>
        </w:rPr>
        <w:t>系统目前估值为</w:t>
      </w:r>
      <w:r>
        <w:rPr>
          <w:rFonts w:hint="eastAsia"/>
          <w:lang w:eastAsia="zh-CN"/>
        </w:rPr>
        <w:t>11.9</w:t>
      </w:r>
      <w:r>
        <w:rPr>
          <w:rFonts w:hint="eastAsia"/>
          <w:lang w:eastAsia="zh-CN"/>
        </w:rPr>
        <w:t>元</w:t>
      </w:r>
    </w:p>
    <w:sectPr w:rsidR="001661E6" w:rsidRPr="001661E6" w:rsidSect="004E03FA">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597" w:rsidRDefault="00B71597" w:rsidP="001A3999">
      <w:r>
        <w:separator/>
      </w:r>
    </w:p>
  </w:endnote>
  <w:endnote w:type="continuationSeparator" w:id="0">
    <w:p w:rsidR="00B71597" w:rsidRDefault="00B71597" w:rsidP="001A39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83735"/>
      <w:docPartObj>
        <w:docPartGallery w:val="Page Numbers (Bottom of Page)"/>
        <w:docPartUnique/>
      </w:docPartObj>
    </w:sdtPr>
    <w:sdtContent>
      <w:p w:rsidR="001F2CB1" w:rsidRDefault="001F2CB1">
        <w:pPr>
          <w:pStyle w:val="aa"/>
          <w:jc w:val="center"/>
        </w:pPr>
        <w:fldSimple w:instr=" PAGE   \* MERGEFORMAT ">
          <w:r w:rsidR="00BE5839" w:rsidRPr="00BE5839">
            <w:rPr>
              <w:noProof/>
              <w:lang w:val="zh-CN"/>
            </w:rPr>
            <w:t>7</w:t>
          </w:r>
        </w:fldSimple>
      </w:p>
    </w:sdtContent>
  </w:sdt>
  <w:p w:rsidR="001F2CB1" w:rsidRDefault="001F2CB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597" w:rsidRDefault="00B71597" w:rsidP="001A3999">
      <w:r>
        <w:separator/>
      </w:r>
    </w:p>
  </w:footnote>
  <w:footnote w:type="continuationSeparator" w:id="0">
    <w:p w:rsidR="00B71597" w:rsidRDefault="00B71597" w:rsidP="001A39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5A26"/>
    <w:multiLevelType w:val="multilevel"/>
    <w:tmpl w:val="E728B1A2"/>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576"/>
        </w:tabs>
        <w:ind w:left="576" w:hanging="576"/>
      </w:pPr>
      <w:rPr>
        <w:rFonts w:hint="default"/>
      </w:rPr>
    </w:lvl>
    <w:lvl w:ilvl="3">
      <w:start w:val="1"/>
      <w:numFmt w:val="decimal"/>
      <w:lvlText w:val="%1.%2.%3.%4."/>
      <w:lvlJc w:val="left"/>
      <w:pPr>
        <w:tabs>
          <w:tab w:val="num" w:pos="2304"/>
        </w:tabs>
        <w:ind w:left="2304" w:hanging="648"/>
      </w:pPr>
      <w:rPr>
        <w:rFonts w:hint="default"/>
      </w:rPr>
    </w:lvl>
    <w:lvl w:ilvl="4">
      <w:start w:val="1"/>
      <w:numFmt w:val="decimal"/>
      <w:lvlText w:val="%1.%2.%3.%4.%5."/>
      <w:lvlJc w:val="left"/>
      <w:pPr>
        <w:tabs>
          <w:tab w:val="num" w:pos="2808"/>
        </w:tabs>
        <w:ind w:left="2808" w:hanging="792"/>
      </w:pPr>
      <w:rPr>
        <w:rFonts w:hint="default"/>
      </w:rPr>
    </w:lvl>
    <w:lvl w:ilvl="5">
      <w:start w:val="1"/>
      <w:numFmt w:val="decimal"/>
      <w:lvlText w:val="%1.%2.%3.%4.%5.%6."/>
      <w:lvlJc w:val="left"/>
      <w:pPr>
        <w:tabs>
          <w:tab w:val="num" w:pos="3312"/>
        </w:tabs>
        <w:ind w:left="3312" w:hanging="936"/>
      </w:pPr>
      <w:rPr>
        <w:rFonts w:hint="default"/>
      </w:rPr>
    </w:lvl>
    <w:lvl w:ilvl="6">
      <w:start w:val="1"/>
      <w:numFmt w:val="decimal"/>
      <w:lvlText w:val="%1.%2.%3.%4.%5.%6.%7."/>
      <w:lvlJc w:val="left"/>
      <w:pPr>
        <w:tabs>
          <w:tab w:val="num" w:pos="3816"/>
        </w:tabs>
        <w:ind w:left="3816" w:hanging="1080"/>
      </w:pPr>
      <w:rPr>
        <w:rFonts w:hint="default"/>
      </w:rPr>
    </w:lvl>
    <w:lvl w:ilvl="7">
      <w:start w:val="1"/>
      <w:numFmt w:val="decimal"/>
      <w:lvlText w:val="%1.%2.%3.%4.%5.%6.%7.%8."/>
      <w:lvlJc w:val="left"/>
      <w:pPr>
        <w:tabs>
          <w:tab w:val="num" w:pos="4320"/>
        </w:tabs>
        <w:ind w:left="4320" w:hanging="1224"/>
      </w:pPr>
      <w:rPr>
        <w:rFonts w:hint="default"/>
      </w:rPr>
    </w:lvl>
    <w:lvl w:ilvl="8">
      <w:start w:val="1"/>
      <w:numFmt w:val="decimal"/>
      <w:lvlText w:val="%1.%2.%3.%4.%5.%6.%7.%8.%9."/>
      <w:lvlJc w:val="left"/>
      <w:pPr>
        <w:tabs>
          <w:tab w:val="num" w:pos="4896"/>
        </w:tabs>
        <w:ind w:left="4896"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3917"/>
    <w:rsid w:val="00005397"/>
    <w:rsid w:val="00026BEB"/>
    <w:rsid w:val="00081229"/>
    <w:rsid w:val="00086D59"/>
    <w:rsid w:val="000F6DE5"/>
    <w:rsid w:val="00100A21"/>
    <w:rsid w:val="00110169"/>
    <w:rsid w:val="0015114B"/>
    <w:rsid w:val="00156EC2"/>
    <w:rsid w:val="001661E6"/>
    <w:rsid w:val="001838F2"/>
    <w:rsid w:val="00191E6E"/>
    <w:rsid w:val="001A21EB"/>
    <w:rsid w:val="001A3999"/>
    <w:rsid w:val="001C51F7"/>
    <w:rsid w:val="001F2CB1"/>
    <w:rsid w:val="00213185"/>
    <w:rsid w:val="00244E12"/>
    <w:rsid w:val="002C1DB8"/>
    <w:rsid w:val="00303EDC"/>
    <w:rsid w:val="003920B2"/>
    <w:rsid w:val="003C09BB"/>
    <w:rsid w:val="003D2B81"/>
    <w:rsid w:val="003D34B8"/>
    <w:rsid w:val="003E6229"/>
    <w:rsid w:val="0040281B"/>
    <w:rsid w:val="004122B2"/>
    <w:rsid w:val="00434727"/>
    <w:rsid w:val="00457DCF"/>
    <w:rsid w:val="004E03FA"/>
    <w:rsid w:val="004E5587"/>
    <w:rsid w:val="00550241"/>
    <w:rsid w:val="005B2B88"/>
    <w:rsid w:val="005B2D84"/>
    <w:rsid w:val="005B3917"/>
    <w:rsid w:val="005B6D42"/>
    <w:rsid w:val="005C7D71"/>
    <w:rsid w:val="00627ADE"/>
    <w:rsid w:val="00642AFE"/>
    <w:rsid w:val="00693AC2"/>
    <w:rsid w:val="0069754B"/>
    <w:rsid w:val="006F252C"/>
    <w:rsid w:val="00702249"/>
    <w:rsid w:val="00714F6E"/>
    <w:rsid w:val="007556B4"/>
    <w:rsid w:val="007B6597"/>
    <w:rsid w:val="007D7EEB"/>
    <w:rsid w:val="008058DA"/>
    <w:rsid w:val="00810620"/>
    <w:rsid w:val="00842EF0"/>
    <w:rsid w:val="00853BC3"/>
    <w:rsid w:val="008B4E10"/>
    <w:rsid w:val="008F486E"/>
    <w:rsid w:val="008F7255"/>
    <w:rsid w:val="00905502"/>
    <w:rsid w:val="009B3F96"/>
    <w:rsid w:val="00A0168F"/>
    <w:rsid w:val="00A1413F"/>
    <w:rsid w:val="00AA001B"/>
    <w:rsid w:val="00AB2D39"/>
    <w:rsid w:val="00B253A2"/>
    <w:rsid w:val="00B274A9"/>
    <w:rsid w:val="00B301B9"/>
    <w:rsid w:val="00B71597"/>
    <w:rsid w:val="00B7608D"/>
    <w:rsid w:val="00BD5A1F"/>
    <w:rsid w:val="00BE5839"/>
    <w:rsid w:val="00C10629"/>
    <w:rsid w:val="00CE5C30"/>
    <w:rsid w:val="00D63BDD"/>
    <w:rsid w:val="00D9189A"/>
    <w:rsid w:val="00DA6BFB"/>
    <w:rsid w:val="00DB6A7F"/>
    <w:rsid w:val="00E0142D"/>
    <w:rsid w:val="00E10B1A"/>
    <w:rsid w:val="00E33BBE"/>
    <w:rsid w:val="00E37316"/>
    <w:rsid w:val="00E7583A"/>
    <w:rsid w:val="00EA3C70"/>
    <w:rsid w:val="00F67F57"/>
    <w:rsid w:val="00F876A9"/>
    <w:rsid w:val="00F975D3"/>
    <w:rsid w:val="00F97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185"/>
    <w:rPr>
      <w:sz w:val="24"/>
      <w:szCs w:val="24"/>
      <w:lang w:eastAsia="en-US"/>
    </w:rPr>
  </w:style>
  <w:style w:type="paragraph" w:styleId="1">
    <w:name w:val="heading 1"/>
    <w:basedOn w:val="a"/>
    <w:next w:val="a"/>
    <w:link w:val="1Char"/>
    <w:qFormat/>
    <w:rsid w:val="00213185"/>
    <w:pPr>
      <w:keepNext/>
      <w:numPr>
        <w:numId w:val="15"/>
      </w:numPr>
      <w:tabs>
        <w:tab w:val="left" w:pos="720"/>
        <w:tab w:val="left" w:pos="1728"/>
        <w:tab w:val="left" w:pos="5760"/>
        <w:tab w:val="right" w:pos="8640"/>
      </w:tabs>
      <w:spacing w:before="120" w:after="60" w:line="480" w:lineRule="auto"/>
      <w:outlineLvl w:val="0"/>
    </w:pPr>
    <w:rPr>
      <w:b/>
      <w:bCs/>
      <w:kern w:val="32"/>
      <w:szCs w:val="32"/>
    </w:rPr>
  </w:style>
  <w:style w:type="paragraph" w:styleId="2">
    <w:name w:val="heading 2"/>
    <w:basedOn w:val="a"/>
    <w:next w:val="a"/>
    <w:link w:val="2Char"/>
    <w:qFormat/>
    <w:rsid w:val="00213185"/>
    <w:pPr>
      <w:keepNext/>
      <w:numPr>
        <w:ilvl w:val="1"/>
        <w:numId w:val="15"/>
      </w:numPr>
      <w:tabs>
        <w:tab w:val="left" w:pos="5760"/>
        <w:tab w:val="right" w:pos="9360"/>
      </w:tabs>
      <w:spacing w:before="120" w:line="480" w:lineRule="auto"/>
      <w:jc w:val="both"/>
      <w:outlineLvl w:val="1"/>
    </w:pPr>
    <w:rPr>
      <w:b/>
      <w:bCs/>
      <w:i/>
      <w:iCs/>
      <w:szCs w:val="28"/>
    </w:rPr>
  </w:style>
  <w:style w:type="paragraph" w:styleId="3">
    <w:name w:val="heading 3"/>
    <w:basedOn w:val="a"/>
    <w:next w:val="a"/>
    <w:link w:val="3Char"/>
    <w:qFormat/>
    <w:rsid w:val="00213185"/>
    <w:pPr>
      <w:keepNext/>
      <w:numPr>
        <w:ilvl w:val="2"/>
        <w:numId w:val="15"/>
      </w:numPr>
      <w:tabs>
        <w:tab w:val="left" w:pos="5760"/>
        <w:tab w:val="right" w:pos="8640"/>
      </w:tabs>
      <w:spacing w:before="60" w:line="480" w:lineRule="auto"/>
      <w:jc w:val="both"/>
      <w:outlineLvl w:val="2"/>
    </w:pPr>
    <w:rPr>
      <w:b/>
      <w:bCs/>
      <w:i/>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3185"/>
    <w:rPr>
      <w:b/>
      <w:bCs/>
      <w:kern w:val="32"/>
      <w:sz w:val="24"/>
      <w:szCs w:val="32"/>
      <w:lang w:eastAsia="en-US"/>
    </w:rPr>
  </w:style>
  <w:style w:type="character" w:customStyle="1" w:styleId="2Char">
    <w:name w:val="标题 2 Char"/>
    <w:basedOn w:val="a0"/>
    <w:link w:val="2"/>
    <w:rsid w:val="00213185"/>
    <w:rPr>
      <w:b/>
      <w:bCs/>
      <w:i/>
      <w:iCs/>
      <w:sz w:val="24"/>
      <w:szCs w:val="28"/>
      <w:lang w:eastAsia="en-US"/>
    </w:rPr>
  </w:style>
  <w:style w:type="character" w:customStyle="1" w:styleId="3Char">
    <w:name w:val="标题 3 Char"/>
    <w:basedOn w:val="a0"/>
    <w:link w:val="3"/>
    <w:rsid w:val="00213185"/>
    <w:rPr>
      <w:b/>
      <w:bCs/>
      <w:i/>
      <w:sz w:val="24"/>
      <w:szCs w:val="26"/>
      <w:lang w:eastAsia="en-US"/>
    </w:rPr>
  </w:style>
  <w:style w:type="paragraph" w:styleId="a3">
    <w:name w:val="caption"/>
    <w:basedOn w:val="a"/>
    <w:next w:val="a"/>
    <w:qFormat/>
    <w:rsid w:val="00213185"/>
    <w:pPr>
      <w:tabs>
        <w:tab w:val="left" w:pos="360"/>
        <w:tab w:val="left" w:pos="720"/>
        <w:tab w:val="left" w:pos="5760"/>
        <w:tab w:val="right" w:pos="8640"/>
      </w:tabs>
      <w:spacing w:before="120" w:after="60"/>
      <w:jc w:val="center"/>
    </w:pPr>
    <w:rPr>
      <w:b/>
      <w:bCs/>
      <w:sz w:val="22"/>
      <w:szCs w:val="20"/>
    </w:rPr>
  </w:style>
  <w:style w:type="paragraph" w:styleId="a4">
    <w:name w:val="Title"/>
    <w:basedOn w:val="a"/>
    <w:link w:val="Char"/>
    <w:qFormat/>
    <w:rsid w:val="00213185"/>
    <w:pPr>
      <w:spacing w:before="240" w:after="240"/>
      <w:jc w:val="center"/>
      <w:outlineLvl w:val="0"/>
    </w:pPr>
    <w:rPr>
      <w:rFonts w:ascii="Arial" w:hAnsi="Arial" w:cs="Arial"/>
      <w:bCs/>
      <w:kern w:val="28"/>
      <w:sz w:val="28"/>
      <w:szCs w:val="28"/>
    </w:rPr>
  </w:style>
  <w:style w:type="character" w:customStyle="1" w:styleId="Char">
    <w:name w:val="标题 Char"/>
    <w:basedOn w:val="a0"/>
    <w:link w:val="a4"/>
    <w:rsid w:val="00213185"/>
    <w:rPr>
      <w:rFonts w:ascii="Arial" w:hAnsi="Arial" w:cs="Arial"/>
      <w:bCs/>
      <w:kern w:val="28"/>
      <w:sz w:val="28"/>
      <w:szCs w:val="28"/>
      <w:lang w:eastAsia="en-US"/>
    </w:rPr>
  </w:style>
  <w:style w:type="paragraph" w:styleId="a5">
    <w:name w:val="List Paragraph"/>
    <w:basedOn w:val="a"/>
    <w:uiPriority w:val="34"/>
    <w:qFormat/>
    <w:rsid w:val="00213185"/>
    <w:pPr>
      <w:ind w:firstLineChars="200" w:firstLine="420"/>
    </w:pPr>
  </w:style>
  <w:style w:type="paragraph" w:styleId="a6">
    <w:name w:val="Normal (Web)"/>
    <w:basedOn w:val="a"/>
    <w:uiPriority w:val="99"/>
    <w:unhideWhenUsed/>
    <w:rsid w:val="005B3917"/>
    <w:pPr>
      <w:spacing w:before="100" w:beforeAutospacing="1" w:after="100" w:afterAutospacing="1"/>
    </w:pPr>
    <w:rPr>
      <w:rFonts w:ascii="宋体" w:hAnsi="宋体" w:cs="宋体"/>
      <w:lang w:eastAsia="zh-CN"/>
    </w:rPr>
  </w:style>
  <w:style w:type="paragraph" w:styleId="a7">
    <w:name w:val="Balloon Text"/>
    <w:basedOn w:val="a"/>
    <w:link w:val="Char0"/>
    <w:uiPriority w:val="99"/>
    <w:semiHidden/>
    <w:unhideWhenUsed/>
    <w:rsid w:val="0015114B"/>
    <w:rPr>
      <w:sz w:val="18"/>
      <w:szCs w:val="18"/>
    </w:rPr>
  </w:style>
  <w:style w:type="character" w:customStyle="1" w:styleId="Char0">
    <w:name w:val="批注框文本 Char"/>
    <w:basedOn w:val="a0"/>
    <w:link w:val="a7"/>
    <w:uiPriority w:val="99"/>
    <w:semiHidden/>
    <w:rsid w:val="0015114B"/>
    <w:rPr>
      <w:sz w:val="18"/>
      <w:szCs w:val="18"/>
      <w:lang w:eastAsia="en-US"/>
    </w:rPr>
  </w:style>
  <w:style w:type="character" w:styleId="a8">
    <w:name w:val="Emphasis"/>
    <w:basedOn w:val="a0"/>
    <w:uiPriority w:val="20"/>
    <w:qFormat/>
    <w:rsid w:val="00714F6E"/>
    <w:rPr>
      <w:i/>
      <w:iCs/>
    </w:rPr>
  </w:style>
  <w:style w:type="paragraph" w:styleId="a9">
    <w:name w:val="header"/>
    <w:basedOn w:val="a"/>
    <w:link w:val="Char1"/>
    <w:uiPriority w:val="99"/>
    <w:semiHidden/>
    <w:unhideWhenUsed/>
    <w:rsid w:val="001A399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1A3999"/>
    <w:rPr>
      <w:sz w:val="18"/>
      <w:szCs w:val="18"/>
      <w:lang w:eastAsia="en-US"/>
    </w:rPr>
  </w:style>
  <w:style w:type="paragraph" w:styleId="aa">
    <w:name w:val="footer"/>
    <w:basedOn w:val="a"/>
    <w:link w:val="Char2"/>
    <w:uiPriority w:val="99"/>
    <w:unhideWhenUsed/>
    <w:rsid w:val="001A3999"/>
    <w:pPr>
      <w:tabs>
        <w:tab w:val="center" w:pos="4153"/>
        <w:tab w:val="right" w:pos="8306"/>
      </w:tabs>
      <w:snapToGrid w:val="0"/>
    </w:pPr>
    <w:rPr>
      <w:sz w:val="18"/>
      <w:szCs w:val="18"/>
    </w:rPr>
  </w:style>
  <w:style w:type="character" w:customStyle="1" w:styleId="Char2">
    <w:name w:val="页脚 Char"/>
    <w:basedOn w:val="a0"/>
    <w:link w:val="aa"/>
    <w:uiPriority w:val="99"/>
    <w:rsid w:val="001A3999"/>
    <w:rPr>
      <w:sz w:val="18"/>
      <w:szCs w:val="18"/>
      <w:lang w:eastAsia="en-US"/>
    </w:rPr>
  </w:style>
</w:styles>
</file>

<file path=word/webSettings.xml><?xml version="1.0" encoding="utf-8"?>
<w:webSettings xmlns:r="http://schemas.openxmlformats.org/officeDocument/2006/relationships" xmlns:w="http://schemas.openxmlformats.org/wordprocessingml/2006/main">
  <w:divs>
    <w:div w:id="279145701">
      <w:bodyDiv w:val="1"/>
      <w:marLeft w:val="0"/>
      <w:marRight w:val="0"/>
      <w:marTop w:val="0"/>
      <w:marBottom w:val="0"/>
      <w:divBdr>
        <w:top w:val="none" w:sz="0" w:space="0" w:color="auto"/>
        <w:left w:val="none" w:sz="0" w:space="0" w:color="auto"/>
        <w:bottom w:val="none" w:sz="0" w:space="0" w:color="auto"/>
        <w:right w:val="none" w:sz="0" w:space="0" w:color="auto"/>
      </w:divBdr>
    </w:div>
    <w:div w:id="443114227">
      <w:bodyDiv w:val="1"/>
      <w:marLeft w:val="0"/>
      <w:marRight w:val="0"/>
      <w:marTop w:val="0"/>
      <w:marBottom w:val="0"/>
      <w:divBdr>
        <w:top w:val="none" w:sz="0" w:space="0" w:color="auto"/>
        <w:left w:val="none" w:sz="0" w:space="0" w:color="auto"/>
        <w:bottom w:val="none" w:sz="0" w:space="0" w:color="auto"/>
        <w:right w:val="none" w:sz="0" w:space="0" w:color="auto"/>
      </w:divBdr>
    </w:div>
    <w:div w:id="524291296">
      <w:bodyDiv w:val="1"/>
      <w:marLeft w:val="0"/>
      <w:marRight w:val="0"/>
      <w:marTop w:val="0"/>
      <w:marBottom w:val="0"/>
      <w:divBdr>
        <w:top w:val="none" w:sz="0" w:space="0" w:color="auto"/>
        <w:left w:val="none" w:sz="0" w:space="0" w:color="auto"/>
        <w:bottom w:val="none" w:sz="0" w:space="0" w:color="auto"/>
        <w:right w:val="none" w:sz="0" w:space="0" w:color="auto"/>
      </w:divBdr>
    </w:div>
    <w:div w:id="584656695">
      <w:bodyDiv w:val="1"/>
      <w:marLeft w:val="0"/>
      <w:marRight w:val="0"/>
      <w:marTop w:val="0"/>
      <w:marBottom w:val="0"/>
      <w:divBdr>
        <w:top w:val="none" w:sz="0" w:space="0" w:color="auto"/>
        <w:left w:val="none" w:sz="0" w:space="0" w:color="auto"/>
        <w:bottom w:val="none" w:sz="0" w:space="0" w:color="auto"/>
        <w:right w:val="none" w:sz="0" w:space="0" w:color="auto"/>
      </w:divBdr>
      <w:divsChild>
        <w:div w:id="1423726148">
          <w:marLeft w:val="0"/>
          <w:marRight w:val="0"/>
          <w:marTop w:val="0"/>
          <w:marBottom w:val="0"/>
          <w:divBdr>
            <w:top w:val="none" w:sz="0" w:space="0" w:color="auto"/>
            <w:left w:val="none" w:sz="0" w:space="0" w:color="auto"/>
            <w:bottom w:val="none" w:sz="0" w:space="0" w:color="auto"/>
            <w:right w:val="none" w:sz="0" w:space="0" w:color="auto"/>
          </w:divBdr>
          <w:divsChild>
            <w:div w:id="1600748692">
              <w:marLeft w:val="0"/>
              <w:marRight w:val="0"/>
              <w:marTop w:val="0"/>
              <w:marBottom w:val="0"/>
              <w:divBdr>
                <w:top w:val="none" w:sz="0" w:space="0" w:color="auto"/>
                <w:left w:val="none" w:sz="0" w:space="0" w:color="auto"/>
                <w:bottom w:val="none" w:sz="0" w:space="0" w:color="auto"/>
                <w:right w:val="none" w:sz="0" w:space="0" w:color="auto"/>
              </w:divBdr>
              <w:divsChild>
                <w:div w:id="1621961053">
                  <w:marLeft w:val="0"/>
                  <w:marRight w:val="0"/>
                  <w:marTop w:val="0"/>
                  <w:marBottom w:val="0"/>
                  <w:divBdr>
                    <w:top w:val="none" w:sz="0" w:space="0" w:color="auto"/>
                    <w:left w:val="none" w:sz="0" w:space="0" w:color="auto"/>
                    <w:bottom w:val="none" w:sz="0" w:space="0" w:color="auto"/>
                    <w:right w:val="none" w:sz="0" w:space="0" w:color="auto"/>
                  </w:divBdr>
                  <w:divsChild>
                    <w:div w:id="11758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07432">
      <w:bodyDiv w:val="1"/>
      <w:marLeft w:val="0"/>
      <w:marRight w:val="0"/>
      <w:marTop w:val="0"/>
      <w:marBottom w:val="0"/>
      <w:divBdr>
        <w:top w:val="none" w:sz="0" w:space="0" w:color="auto"/>
        <w:left w:val="none" w:sz="0" w:space="0" w:color="auto"/>
        <w:bottom w:val="none" w:sz="0" w:space="0" w:color="auto"/>
        <w:right w:val="none" w:sz="0" w:space="0" w:color="auto"/>
      </w:divBdr>
    </w:div>
    <w:div w:id="1087843580">
      <w:bodyDiv w:val="1"/>
      <w:marLeft w:val="0"/>
      <w:marRight w:val="0"/>
      <w:marTop w:val="0"/>
      <w:marBottom w:val="0"/>
      <w:divBdr>
        <w:top w:val="none" w:sz="0" w:space="0" w:color="auto"/>
        <w:left w:val="none" w:sz="0" w:space="0" w:color="auto"/>
        <w:bottom w:val="none" w:sz="0" w:space="0" w:color="auto"/>
        <w:right w:val="none" w:sz="0" w:space="0" w:color="auto"/>
      </w:divBdr>
    </w:div>
    <w:div w:id="1126581588">
      <w:bodyDiv w:val="1"/>
      <w:marLeft w:val="0"/>
      <w:marRight w:val="0"/>
      <w:marTop w:val="0"/>
      <w:marBottom w:val="0"/>
      <w:divBdr>
        <w:top w:val="none" w:sz="0" w:space="0" w:color="auto"/>
        <w:left w:val="none" w:sz="0" w:space="0" w:color="auto"/>
        <w:bottom w:val="none" w:sz="0" w:space="0" w:color="auto"/>
        <w:right w:val="none" w:sz="0" w:space="0" w:color="auto"/>
      </w:divBdr>
    </w:div>
    <w:div w:id="1221290629">
      <w:bodyDiv w:val="1"/>
      <w:marLeft w:val="0"/>
      <w:marRight w:val="0"/>
      <w:marTop w:val="0"/>
      <w:marBottom w:val="0"/>
      <w:divBdr>
        <w:top w:val="none" w:sz="0" w:space="0" w:color="auto"/>
        <w:left w:val="none" w:sz="0" w:space="0" w:color="auto"/>
        <w:bottom w:val="none" w:sz="0" w:space="0" w:color="auto"/>
        <w:right w:val="none" w:sz="0" w:space="0" w:color="auto"/>
      </w:divBdr>
    </w:div>
    <w:div w:id="1325010454">
      <w:bodyDiv w:val="1"/>
      <w:marLeft w:val="0"/>
      <w:marRight w:val="0"/>
      <w:marTop w:val="0"/>
      <w:marBottom w:val="0"/>
      <w:divBdr>
        <w:top w:val="none" w:sz="0" w:space="0" w:color="auto"/>
        <w:left w:val="none" w:sz="0" w:space="0" w:color="auto"/>
        <w:bottom w:val="none" w:sz="0" w:space="0" w:color="auto"/>
        <w:right w:val="none" w:sz="0" w:space="0" w:color="auto"/>
      </w:divBdr>
    </w:div>
    <w:div w:id="1345521384">
      <w:bodyDiv w:val="1"/>
      <w:marLeft w:val="0"/>
      <w:marRight w:val="0"/>
      <w:marTop w:val="0"/>
      <w:marBottom w:val="0"/>
      <w:divBdr>
        <w:top w:val="none" w:sz="0" w:space="0" w:color="auto"/>
        <w:left w:val="none" w:sz="0" w:space="0" w:color="auto"/>
        <w:bottom w:val="none" w:sz="0" w:space="0" w:color="auto"/>
        <w:right w:val="none" w:sz="0" w:space="0" w:color="auto"/>
      </w:divBdr>
    </w:div>
    <w:div w:id="1696613114">
      <w:bodyDiv w:val="1"/>
      <w:marLeft w:val="0"/>
      <w:marRight w:val="0"/>
      <w:marTop w:val="0"/>
      <w:marBottom w:val="0"/>
      <w:divBdr>
        <w:top w:val="none" w:sz="0" w:space="0" w:color="auto"/>
        <w:left w:val="none" w:sz="0" w:space="0" w:color="auto"/>
        <w:bottom w:val="none" w:sz="0" w:space="0" w:color="auto"/>
        <w:right w:val="none" w:sz="0" w:space="0" w:color="auto"/>
      </w:divBdr>
    </w:div>
    <w:div w:id="17647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Others\&#35777;&#21048;&#32929;&#31080;\&#36130;&#21153;&#25253;&#34920;\&#21335;&#29627;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Others\&#35777;&#21048;&#32929;&#31080;\&#36130;&#21153;&#25253;&#34920;\&#21335;&#29627;A.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Others\&#35777;&#21048;&#32929;&#31080;\&#36130;&#21153;&#25253;&#34920;\&#21335;&#29627;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explosion val="1"/>
          <c:dPt>
            <c:idx val="0"/>
            <c:explosion val="0"/>
          </c:dPt>
          <c:dLbls>
            <c:txPr>
              <a:bodyPr/>
              <a:lstStyle/>
              <a:p>
                <a:pPr>
                  <a:defRPr sz="1100" baseline="0"/>
                </a:pPr>
                <a:endParaRPr lang="zh-CN"/>
              </a:p>
            </c:txPr>
            <c:showPercent val="1"/>
            <c:showLeaderLines val="1"/>
          </c:dLbls>
          <c:cat>
            <c:strRef>
              <c:f>Sheet1!$C$4:$C$7</c:f>
              <c:strCache>
                <c:ptCount val="4"/>
                <c:pt idx="0">
                  <c:v>平板玻璃-毛利率34.2%</c:v>
                </c:pt>
                <c:pt idx="1">
                  <c:v>工程玻璃-毛利率30.0%</c:v>
                </c:pt>
                <c:pt idx="2">
                  <c:v>精细玻璃和陶瓷-毛利率33.1%</c:v>
                </c:pt>
                <c:pt idx="3">
                  <c:v>太阳能-毛利率36.2%</c:v>
                </c:pt>
              </c:strCache>
            </c:strRef>
          </c:cat>
          <c:val>
            <c:numRef>
              <c:f>Sheet1!$D$4:$D$7</c:f>
              <c:numCache>
                <c:formatCode>General</c:formatCode>
                <c:ptCount val="4"/>
                <c:pt idx="0">
                  <c:v>318287</c:v>
                </c:pt>
                <c:pt idx="1">
                  <c:v>226299</c:v>
                </c:pt>
                <c:pt idx="2" formatCode="#,##0">
                  <c:v>64346</c:v>
                </c:pt>
                <c:pt idx="3" formatCode="#,##0">
                  <c:v>226040</c:v>
                </c:pt>
              </c:numCache>
            </c:numRef>
          </c:val>
        </c:ser>
        <c:dLbls>
          <c:showPercent val="1"/>
        </c:dLbls>
        <c:firstSliceAng val="0"/>
      </c:pieChart>
    </c:plotArea>
    <c:legend>
      <c:legendPos val="r"/>
      <c:layout>
        <c:manualLayout>
          <c:xMode val="edge"/>
          <c:yMode val="edge"/>
          <c:x val="0.5971846163857617"/>
          <c:y val="0.17232116015171695"/>
          <c:w val="0.38959224311837082"/>
          <c:h val="0.78354727914203559"/>
        </c:manualLayout>
      </c:layout>
      <c:txPr>
        <a:bodyPr/>
        <a:lstStyle/>
        <a:p>
          <a:pPr>
            <a:defRPr sz="1100" baseline="0"/>
          </a:pPr>
          <a:endParaRPr lang="zh-CN"/>
        </a:p>
      </c:txP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zh-CN"/>
  <c:chart>
    <c:autoTitleDeleted val="1"/>
    <c:view3D>
      <c:rAngAx val="1"/>
    </c:view3D>
    <c:plotArea>
      <c:layout/>
      <c:bar3DChart>
        <c:barDir val="col"/>
        <c:grouping val="clustered"/>
        <c:ser>
          <c:idx val="0"/>
          <c:order val="0"/>
          <c:tx>
            <c:strRef>
              <c:f>Sheet2!$B$2</c:f>
              <c:strCache>
                <c:ptCount val="1"/>
                <c:pt idx="0">
                  <c:v>投资活动</c:v>
                </c:pt>
              </c:strCache>
            </c:strRef>
          </c:tx>
          <c:cat>
            <c:numRef>
              <c:f>Sheet2!$A$3:$A$15</c:f>
              <c:numCache>
                <c:formatCode>yyyy/m/d</c:formatCode>
                <c:ptCount val="13"/>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numCache>
            </c:numRef>
          </c:cat>
          <c:val>
            <c:numRef>
              <c:f>Sheet2!$B$3:$B$15</c:f>
              <c:numCache>
                <c:formatCode>General</c:formatCode>
                <c:ptCount val="13"/>
                <c:pt idx="0">
                  <c:v>-1857670096</c:v>
                </c:pt>
                <c:pt idx="1">
                  <c:v>-1005773770</c:v>
                </c:pt>
                <c:pt idx="2">
                  <c:v>-2563186077</c:v>
                </c:pt>
                <c:pt idx="3">
                  <c:v>-1340158833</c:v>
                </c:pt>
                <c:pt idx="4">
                  <c:v>-1092243709</c:v>
                </c:pt>
                <c:pt idx="5">
                  <c:v>-957763352</c:v>
                </c:pt>
                <c:pt idx="6">
                  <c:v>-1172762271</c:v>
                </c:pt>
                <c:pt idx="7">
                  <c:v>-607684051</c:v>
                </c:pt>
                <c:pt idx="8">
                  <c:v>-455031171</c:v>
                </c:pt>
                <c:pt idx="9">
                  <c:v>-212945662</c:v>
                </c:pt>
                <c:pt idx="10">
                  <c:v>-54386600.910000004</c:v>
                </c:pt>
                <c:pt idx="11">
                  <c:v>-27311809.719999999</c:v>
                </c:pt>
                <c:pt idx="12">
                  <c:v>-173314583.44</c:v>
                </c:pt>
              </c:numCache>
            </c:numRef>
          </c:val>
        </c:ser>
        <c:ser>
          <c:idx val="1"/>
          <c:order val="1"/>
          <c:tx>
            <c:strRef>
              <c:f>Sheet2!$C$2</c:f>
              <c:strCache>
                <c:ptCount val="1"/>
                <c:pt idx="0">
                  <c:v>经营活动</c:v>
                </c:pt>
              </c:strCache>
            </c:strRef>
          </c:tx>
          <c:cat>
            <c:numRef>
              <c:f>Sheet2!$A$3:$A$15</c:f>
              <c:numCache>
                <c:formatCode>yyyy/m/d</c:formatCode>
                <c:ptCount val="13"/>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numCache>
            </c:numRef>
          </c:cat>
          <c:val>
            <c:numRef>
              <c:f>Sheet2!$C$3:$C$15</c:f>
              <c:numCache>
                <c:formatCode>General</c:formatCode>
                <c:ptCount val="13"/>
                <c:pt idx="0">
                  <c:v>2366313914</c:v>
                </c:pt>
                <c:pt idx="1">
                  <c:v>1670237426</c:v>
                </c:pt>
                <c:pt idx="2">
                  <c:v>1030211774</c:v>
                </c:pt>
                <c:pt idx="3">
                  <c:v>1102315515</c:v>
                </c:pt>
                <c:pt idx="4">
                  <c:v>806665961</c:v>
                </c:pt>
                <c:pt idx="5">
                  <c:v>923609014</c:v>
                </c:pt>
                <c:pt idx="6">
                  <c:v>575718536</c:v>
                </c:pt>
                <c:pt idx="7">
                  <c:v>425600704</c:v>
                </c:pt>
                <c:pt idx="8">
                  <c:v>326180636</c:v>
                </c:pt>
                <c:pt idx="9">
                  <c:v>364580339</c:v>
                </c:pt>
                <c:pt idx="10">
                  <c:v>323291103.75</c:v>
                </c:pt>
                <c:pt idx="11">
                  <c:v>311900051.91999996</c:v>
                </c:pt>
                <c:pt idx="12">
                  <c:v>210438115.38000003</c:v>
                </c:pt>
              </c:numCache>
            </c:numRef>
          </c:val>
        </c:ser>
        <c:ser>
          <c:idx val="2"/>
          <c:order val="2"/>
          <c:tx>
            <c:strRef>
              <c:f>Sheet2!$D$2</c:f>
              <c:strCache>
                <c:ptCount val="1"/>
                <c:pt idx="0">
                  <c:v>筹资活动</c:v>
                </c:pt>
              </c:strCache>
            </c:strRef>
          </c:tx>
          <c:cat>
            <c:numRef>
              <c:f>Sheet2!$A$3:$A$15</c:f>
              <c:numCache>
                <c:formatCode>yyyy/m/d</c:formatCode>
                <c:ptCount val="13"/>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numCache>
            </c:numRef>
          </c:cat>
          <c:val>
            <c:numRef>
              <c:f>Sheet2!$D$3:$D$15</c:f>
              <c:numCache>
                <c:formatCode>General</c:formatCode>
                <c:ptCount val="13"/>
                <c:pt idx="0">
                  <c:v>3952327679</c:v>
                </c:pt>
                <c:pt idx="1">
                  <c:v>5106588675</c:v>
                </c:pt>
                <c:pt idx="2">
                  <c:v>7561538210</c:v>
                </c:pt>
                <c:pt idx="3">
                  <c:v>5754053598</c:v>
                </c:pt>
                <c:pt idx="4">
                  <c:v>3445216822</c:v>
                </c:pt>
                <c:pt idx="5">
                  <c:v>3388642001</c:v>
                </c:pt>
                <c:pt idx="6">
                  <c:v>3189561263</c:v>
                </c:pt>
                <c:pt idx="7">
                  <c:v>1855137827</c:v>
                </c:pt>
                <c:pt idx="8">
                  <c:v>1360909561</c:v>
                </c:pt>
                <c:pt idx="9">
                  <c:v>12118541</c:v>
                </c:pt>
                <c:pt idx="10">
                  <c:v>511550000</c:v>
                </c:pt>
                <c:pt idx="11">
                  <c:v>548556399.66999996</c:v>
                </c:pt>
                <c:pt idx="12">
                  <c:v>1379154445.99</c:v>
                </c:pt>
              </c:numCache>
            </c:numRef>
          </c:val>
        </c:ser>
        <c:gapWidth val="75"/>
        <c:shape val="box"/>
        <c:axId val="294761216"/>
        <c:axId val="294762752"/>
        <c:axId val="0"/>
      </c:bar3DChart>
      <c:dateAx>
        <c:axId val="294761216"/>
        <c:scaling>
          <c:orientation val="minMax"/>
        </c:scaling>
        <c:axPos val="b"/>
        <c:numFmt formatCode="yyyy/m/d" sourceLinked="1"/>
        <c:majorTickMark val="none"/>
        <c:tickLblPos val="nextTo"/>
        <c:crossAx val="294762752"/>
        <c:crosses val="autoZero"/>
        <c:auto val="1"/>
        <c:lblOffset val="100"/>
      </c:dateAx>
      <c:valAx>
        <c:axId val="294762752"/>
        <c:scaling>
          <c:orientation val="minMax"/>
        </c:scaling>
        <c:axPos val="l"/>
        <c:majorGridlines/>
        <c:numFmt formatCode="General" sourceLinked="1"/>
        <c:majorTickMark val="none"/>
        <c:tickLblPos val="nextTo"/>
        <c:spPr>
          <a:ln w="9525">
            <a:noFill/>
          </a:ln>
        </c:spPr>
        <c:crossAx val="294761216"/>
        <c:crosses val="autoZero"/>
        <c:crossBetween val="between"/>
      </c:valAx>
    </c:plotArea>
    <c:legend>
      <c:legendPos val="b"/>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dLbls>
            <c:txPr>
              <a:bodyPr/>
              <a:lstStyle/>
              <a:p>
                <a:pPr>
                  <a:defRPr sz="1100" baseline="0"/>
                </a:pPr>
                <a:endParaRPr lang="zh-CN"/>
              </a:p>
            </c:txPr>
            <c:showPercent val="1"/>
            <c:showLeaderLines val="1"/>
          </c:dLbls>
          <c:cat>
            <c:strRef>
              <c:f>Sheet1!$C$11:$C$17</c:f>
              <c:strCache>
                <c:ptCount val="7"/>
                <c:pt idx="0">
                  <c:v>中国大陆-增长33.95%</c:v>
                </c:pt>
                <c:pt idx="1">
                  <c:v>中国香港-增长26.64%</c:v>
                </c:pt>
                <c:pt idx="2">
                  <c:v>欧洲-增长4142.56%</c:v>
                </c:pt>
                <c:pt idx="3">
                  <c:v>北美-增长1041.16%</c:v>
                </c:pt>
                <c:pt idx="4">
                  <c:v>澳洲-增长70.10%</c:v>
                </c:pt>
                <c:pt idx="5">
                  <c:v>亚洲 ( 不含大陆和香港 )-增长22.08% </c:v>
                </c:pt>
                <c:pt idx="6">
                  <c:v>其他地区-增长24.44%</c:v>
                </c:pt>
              </c:strCache>
            </c:strRef>
          </c:cat>
          <c:val>
            <c:numRef>
              <c:f>Sheet1!$D$11:$D$17</c:f>
              <c:numCache>
                <c:formatCode>#,##0</c:formatCode>
                <c:ptCount val="7"/>
                <c:pt idx="0">
                  <c:v>606266</c:v>
                </c:pt>
                <c:pt idx="1">
                  <c:v>38060</c:v>
                </c:pt>
                <c:pt idx="2">
                  <c:v>66854</c:v>
                </c:pt>
                <c:pt idx="3">
                  <c:v>7036</c:v>
                </c:pt>
                <c:pt idx="4">
                  <c:v>9256</c:v>
                </c:pt>
                <c:pt idx="5">
                  <c:v>23635</c:v>
                </c:pt>
                <c:pt idx="6">
                  <c:v>18691</c:v>
                </c:pt>
              </c:numCache>
            </c:numRef>
          </c:val>
        </c:ser>
        <c:dLbls>
          <c:showPercent val="1"/>
        </c:dLbls>
        <c:firstSliceAng val="0"/>
      </c:pieChart>
    </c:plotArea>
    <c:legend>
      <c:legendPos val="r"/>
      <c:txPr>
        <a:bodyPr/>
        <a:lstStyle/>
        <a:p>
          <a:pPr>
            <a:defRPr sz="1100" baseline="0"/>
          </a:pPr>
          <a:endParaRPr lang="zh-CN"/>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autoTitleDeleted val="1"/>
    <c:plotArea>
      <c:layout/>
      <c:lineChart>
        <c:grouping val="standard"/>
        <c:ser>
          <c:idx val="0"/>
          <c:order val="0"/>
          <c:marker>
            <c:symbol val="none"/>
          </c:marker>
          <c:cat>
            <c:numRef>
              <c:f>Sheet1!$C$21:$C$40</c:f>
              <c:numCache>
                <c:formatCode>yyyy/m/d</c:formatCode>
                <c:ptCount val="20"/>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pt idx="13">
                  <c:v>35795</c:v>
                </c:pt>
                <c:pt idx="14">
                  <c:v>35430</c:v>
                </c:pt>
                <c:pt idx="15">
                  <c:v>35064</c:v>
                </c:pt>
                <c:pt idx="16">
                  <c:v>34699</c:v>
                </c:pt>
                <c:pt idx="17">
                  <c:v>34334</c:v>
                </c:pt>
                <c:pt idx="18">
                  <c:v>33969</c:v>
                </c:pt>
                <c:pt idx="19">
                  <c:v>33603</c:v>
                </c:pt>
              </c:numCache>
            </c:numRef>
          </c:cat>
          <c:val>
            <c:numRef>
              <c:f>Sheet1!$D$21:$D$40</c:f>
              <c:numCache>
                <c:formatCode>General</c:formatCode>
                <c:ptCount val="20"/>
                <c:pt idx="0">
                  <c:v>54.205500000000022</c:v>
                </c:pt>
                <c:pt idx="1">
                  <c:v>51.414799999999993</c:v>
                </c:pt>
                <c:pt idx="2">
                  <c:v>46.385799999999996</c:v>
                </c:pt>
                <c:pt idx="3">
                  <c:v>50.699400000000011</c:v>
                </c:pt>
                <c:pt idx="4">
                  <c:v>38.810599999999994</c:v>
                </c:pt>
                <c:pt idx="5">
                  <c:v>44.826800000000006</c:v>
                </c:pt>
                <c:pt idx="6">
                  <c:v>49.1248</c:v>
                </c:pt>
                <c:pt idx="7">
                  <c:v>60.061800000000005</c:v>
                </c:pt>
                <c:pt idx="8">
                  <c:v>63.906800000000004</c:v>
                </c:pt>
                <c:pt idx="9">
                  <c:v>68.415499999999994</c:v>
                </c:pt>
                <c:pt idx="10">
                  <c:v>64.842399999999998</c:v>
                </c:pt>
                <c:pt idx="11">
                  <c:v>61.007600000000004</c:v>
                </c:pt>
                <c:pt idx="12">
                  <c:v>58.496200000000002</c:v>
                </c:pt>
                <c:pt idx="13">
                  <c:v>59.844399999999993</c:v>
                </c:pt>
                <c:pt idx="14">
                  <c:v>46.671900000000001</c:v>
                </c:pt>
                <c:pt idx="15">
                  <c:v>42.942700000000002</c:v>
                </c:pt>
                <c:pt idx="16">
                  <c:v>69.130600000000001</c:v>
                </c:pt>
                <c:pt idx="17">
                  <c:v>73.087999999999994</c:v>
                </c:pt>
                <c:pt idx="18">
                  <c:v>66.835599999999999</c:v>
                </c:pt>
                <c:pt idx="19">
                  <c:v>37.3307</c:v>
                </c:pt>
              </c:numCache>
            </c:numRef>
          </c:val>
        </c:ser>
        <c:marker val="1"/>
        <c:axId val="280866176"/>
        <c:axId val="292635776"/>
      </c:lineChart>
      <c:dateAx>
        <c:axId val="280866176"/>
        <c:scaling>
          <c:orientation val="minMax"/>
        </c:scaling>
        <c:axPos val="b"/>
        <c:numFmt formatCode="yyyy/m/d" sourceLinked="1"/>
        <c:majorTickMark val="none"/>
        <c:tickLblPos val="nextTo"/>
        <c:txPr>
          <a:bodyPr/>
          <a:lstStyle/>
          <a:p>
            <a:pPr>
              <a:defRPr sz="1100" baseline="0"/>
            </a:pPr>
            <a:endParaRPr lang="zh-CN"/>
          </a:p>
        </c:txPr>
        <c:crossAx val="292635776"/>
        <c:crosses val="autoZero"/>
        <c:auto val="1"/>
        <c:lblOffset val="100"/>
      </c:dateAx>
      <c:valAx>
        <c:axId val="292635776"/>
        <c:scaling>
          <c:orientation val="minMax"/>
        </c:scaling>
        <c:axPos val="l"/>
        <c:majorGridlines/>
        <c:title>
          <c:tx>
            <c:rich>
              <a:bodyPr/>
              <a:lstStyle/>
              <a:p>
                <a:pPr>
                  <a:defRPr sz="1100" baseline="0"/>
                </a:pPr>
                <a:r>
                  <a:rPr lang="zh-CN" altLang="en-US" sz="1100" baseline="0"/>
                  <a:t>股东权益比率</a:t>
                </a:r>
              </a:p>
            </c:rich>
          </c:tx>
        </c:title>
        <c:numFmt formatCode="General" sourceLinked="1"/>
        <c:majorTickMark val="none"/>
        <c:tickLblPos val="nextTo"/>
        <c:crossAx val="280866176"/>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autoTitleDeleted val="1"/>
    <c:plotArea>
      <c:layout/>
      <c:lineChart>
        <c:grouping val="standard"/>
        <c:ser>
          <c:idx val="0"/>
          <c:order val="0"/>
          <c:marker>
            <c:symbol val="none"/>
          </c:marker>
          <c:dLbls>
            <c:txPr>
              <a:bodyPr/>
              <a:lstStyle/>
              <a:p>
                <a:pPr>
                  <a:defRPr sz="1100" baseline="0"/>
                </a:pPr>
                <a:endParaRPr lang="zh-CN"/>
              </a:p>
            </c:txPr>
            <c:showVal val="1"/>
          </c:dLbls>
          <c:cat>
            <c:numRef>
              <c:f>Sheet1!$C$45:$C$57</c:f>
              <c:numCache>
                <c:formatCode>yyyy/m/d</c:formatCode>
                <c:ptCount val="13"/>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numCache>
            </c:numRef>
          </c:cat>
          <c:val>
            <c:numRef>
              <c:f>Sheet1!$D$45:$D$57</c:f>
              <c:numCache>
                <c:formatCode>0.00_ </c:formatCode>
                <c:ptCount val="13"/>
                <c:pt idx="0">
                  <c:v>15.954700000000004</c:v>
                </c:pt>
                <c:pt idx="1">
                  <c:v>9.291599999999999</c:v>
                </c:pt>
                <c:pt idx="2">
                  <c:v>5.3326000000000002</c:v>
                </c:pt>
                <c:pt idx="3">
                  <c:v>8.3322000000000003</c:v>
                </c:pt>
                <c:pt idx="4">
                  <c:v>7.2298999999999998</c:v>
                </c:pt>
                <c:pt idx="5">
                  <c:v>7.9051</c:v>
                </c:pt>
                <c:pt idx="6">
                  <c:v>9.6757000000000026</c:v>
                </c:pt>
                <c:pt idx="7">
                  <c:v>7.2252999999999998</c:v>
                </c:pt>
                <c:pt idx="8">
                  <c:v>6.692199999999997</c:v>
                </c:pt>
                <c:pt idx="9">
                  <c:v>5.6891999999999996</c:v>
                </c:pt>
                <c:pt idx="10">
                  <c:v>6.2535999999999996</c:v>
                </c:pt>
                <c:pt idx="11">
                  <c:v>-5.2636000000000003</c:v>
                </c:pt>
                <c:pt idx="12">
                  <c:v>1.2822</c:v>
                </c:pt>
              </c:numCache>
            </c:numRef>
          </c:val>
        </c:ser>
        <c:dLbls>
          <c:showVal val="1"/>
        </c:dLbls>
        <c:marker val="1"/>
        <c:axId val="293675776"/>
        <c:axId val="293677312"/>
      </c:lineChart>
      <c:dateAx>
        <c:axId val="293675776"/>
        <c:scaling>
          <c:orientation val="minMax"/>
        </c:scaling>
        <c:axPos val="b"/>
        <c:numFmt formatCode="yyyy/m/d" sourceLinked="1"/>
        <c:majorTickMark val="none"/>
        <c:tickLblPos val="nextTo"/>
        <c:txPr>
          <a:bodyPr/>
          <a:lstStyle/>
          <a:p>
            <a:pPr>
              <a:defRPr sz="1100" baseline="0"/>
            </a:pPr>
            <a:endParaRPr lang="zh-CN"/>
          </a:p>
        </c:txPr>
        <c:crossAx val="293677312"/>
        <c:crosses val="autoZero"/>
        <c:auto val="1"/>
        <c:lblOffset val="100"/>
      </c:dateAx>
      <c:valAx>
        <c:axId val="293677312"/>
        <c:scaling>
          <c:orientation val="minMax"/>
        </c:scaling>
        <c:delete val="1"/>
        <c:axPos val="l"/>
        <c:numFmt formatCode="0.00_ " sourceLinked="1"/>
        <c:majorTickMark val="none"/>
        <c:tickLblPos val="none"/>
        <c:crossAx val="293675776"/>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5.9326990376203072E-2"/>
          <c:y val="5.0925925925925923E-2"/>
          <c:w val="0.90136811023621977"/>
          <c:h val="0.89814814814814814"/>
        </c:manualLayout>
      </c:layout>
      <c:lineChart>
        <c:grouping val="standard"/>
        <c:ser>
          <c:idx val="0"/>
          <c:order val="0"/>
          <c:marker>
            <c:symbol val="none"/>
          </c:marker>
          <c:dLbls>
            <c:txPr>
              <a:bodyPr/>
              <a:lstStyle/>
              <a:p>
                <a:pPr>
                  <a:defRPr sz="1100" baseline="0"/>
                </a:pPr>
                <a:endParaRPr lang="zh-CN"/>
              </a:p>
            </c:txPr>
            <c:showVal val="1"/>
          </c:dLbls>
          <c:cat>
            <c:numRef>
              <c:f>Sheet1!$C$65:$C$77</c:f>
              <c:numCache>
                <c:formatCode>yyyy/m/d</c:formatCode>
                <c:ptCount val="13"/>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numCache>
            </c:numRef>
          </c:cat>
          <c:val>
            <c:numRef>
              <c:f>Sheet1!$D$65:$D$77</c:f>
              <c:numCache>
                <c:formatCode>0.00_ </c:formatCode>
                <c:ptCount val="13"/>
                <c:pt idx="0">
                  <c:v>23.5275</c:v>
                </c:pt>
                <c:pt idx="1">
                  <c:v>15.962000000000005</c:v>
                </c:pt>
                <c:pt idx="2">
                  <c:v>9.2338999999999984</c:v>
                </c:pt>
                <c:pt idx="3">
                  <c:v>11.9353</c:v>
                </c:pt>
                <c:pt idx="4">
                  <c:v>13.0131</c:v>
                </c:pt>
                <c:pt idx="5">
                  <c:v>13.1708</c:v>
                </c:pt>
                <c:pt idx="6">
                  <c:v>15.268899999999999</c:v>
                </c:pt>
                <c:pt idx="7">
                  <c:v>9.8957000000000068</c:v>
                </c:pt>
                <c:pt idx="8">
                  <c:v>8.6999000000000013</c:v>
                </c:pt>
                <c:pt idx="9">
                  <c:v>8.3372000000000011</c:v>
                </c:pt>
                <c:pt idx="10">
                  <c:v>9.1750000000000007</c:v>
                </c:pt>
                <c:pt idx="11">
                  <c:v>-9.2566000000000006</c:v>
                </c:pt>
                <c:pt idx="12">
                  <c:v>0.81960000000000033</c:v>
                </c:pt>
              </c:numCache>
            </c:numRef>
          </c:val>
        </c:ser>
        <c:dLbls>
          <c:showVal val="1"/>
        </c:dLbls>
        <c:marker val="1"/>
        <c:axId val="294499840"/>
        <c:axId val="294501376"/>
      </c:lineChart>
      <c:dateAx>
        <c:axId val="294499840"/>
        <c:scaling>
          <c:orientation val="minMax"/>
        </c:scaling>
        <c:axPos val="b"/>
        <c:numFmt formatCode="yyyy/m/d" sourceLinked="1"/>
        <c:majorTickMark val="none"/>
        <c:tickLblPos val="nextTo"/>
        <c:txPr>
          <a:bodyPr/>
          <a:lstStyle/>
          <a:p>
            <a:pPr>
              <a:defRPr sz="1100" baseline="0"/>
            </a:pPr>
            <a:endParaRPr lang="zh-CN"/>
          </a:p>
        </c:txPr>
        <c:crossAx val="294501376"/>
        <c:crosses val="autoZero"/>
        <c:auto val="1"/>
        <c:lblOffset val="100"/>
      </c:dateAx>
      <c:valAx>
        <c:axId val="294501376"/>
        <c:scaling>
          <c:orientation val="minMax"/>
        </c:scaling>
        <c:delete val="1"/>
        <c:axPos val="l"/>
        <c:numFmt formatCode="0.00_ " sourceLinked="1"/>
        <c:tickLblPos val="none"/>
        <c:crossAx val="294499840"/>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plotArea>
      <c:layout/>
      <c:lineChart>
        <c:grouping val="standard"/>
        <c:ser>
          <c:idx val="0"/>
          <c:order val="0"/>
          <c:marker>
            <c:symbol val="none"/>
          </c:marker>
          <c:cat>
            <c:numRef>
              <c:f>Sheet1!$C$81:$C$100</c:f>
              <c:numCache>
                <c:formatCode>yyyy/m/d</c:formatCode>
                <c:ptCount val="20"/>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pt idx="13">
                  <c:v>35795</c:v>
                </c:pt>
                <c:pt idx="14">
                  <c:v>35430</c:v>
                </c:pt>
                <c:pt idx="15">
                  <c:v>35064</c:v>
                </c:pt>
                <c:pt idx="16">
                  <c:v>34699</c:v>
                </c:pt>
                <c:pt idx="17">
                  <c:v>34334</c:v>
                </c:pt>
                <c:pt idx="18">
                  <c:v>33969</c:v>
                </c:pt>
                <c:pt idx="19">
                  <c:v>33603</c:v>
                </c:pt>
              </c:numCache>
            </c:numRef>
          </c:cat>
          <c:val>
            <c:numRef>
              <c:f>Sheet1!$D$81:$D$100</c:f>
              <c:numCache>
                <c:formatCode>General</c:formatCode>
                <c:ptCount val="20"/>
                <c:pt idx="0">
                  <c:v>36.161200000000001</c:v>
                </c:pt>
                <c:pt idx="1">
                  <c:v>34.921200000000006</c:v>
                </c:pt>
                <c:pt idx="2">
                  <c:v>29.927299999999985</c:v>
                </c:pt>
                <c:pt idx="3">
                  <c:v>30.525299999999984</c:v>
                </c:pt>
                <c:pt idx="4">
                  <c:v>32.027300000000011</c:v>
                </c:pt>
                <c:pt idx="5">
                  <c:v>32.132200000000012</c:v>
                </c:pt>
                <c:pt idx="6">
                  <c:v>34.0274</c:v>
                </c:pt>
                <c:pt idx="7">
                  <c:v>36.354299999999995</c:v>
                </c:pt>
                <c:pt idx="8">
                  <c:v>38.575500000000012</c:v>
                </c:pt>
                <c:pt idx="9">
                  <c:v>36.350799999999992</c:v>
                </c:pt>
                <c:pt idx="10">
                  <c:v>37.358200000000004</c:v>
                </c:pt>
                <c:pt idx="11">
                  <c:v>28.257000000000001</c:v>
                </c:pt>
                <c:pt idx="12">
                  <c:v>33.559799999999996</c:v>
                </c:pt>
                <c:pt idx="13">
                  <c:v>38.443100000000001</c:v>
                </c:pt>
                <c:pt idx="14">
                  <c:v>38.694200000000002</c:v>
                </c:pt>
                <c:pt idx="15">
                  <c:v>34.049500000000002</c:v>
                </c:pt>
                <c:pt idx="16">
                  <c:v>37.8217</c:v>
                </c:pt>
                <c:pt idx="17">
                  <c:v>49.8352</c:v>
                </c:pt>
                <c:pt idx="18">
                  <c:v>49.556000000000004</c:v>
                </c:pt>
                <c:pt idx="19">
                  <c:v>49.132400000000011</c:v>
                </c:pt>
              </c:numCache>
            </c:numRef>
          </c:val>
        </c:ser>
        <c:marker val="1"/>
        <c:axId val="294594432"/>
        <c:axId val="294595968"/>
      </c:lineChart>
      <c:dateAx>
        <c:axId val="294594432"/>
        <c:scaling>
          <c:orientation val="minMax"/>
        </c:scaling>
        <c:axPos val="b"/>
        <c:numFmt formatCode="yyyy/m/d" sourceLinked="1"/>
        <c:tickLblPos val="nextTo"/>
        <c:txPr>
          <a:bodyPr/>
          <a:lstStyle/>
          <a:p>
            <a:pPr>
              <a:defRPr sz="1100" baseline="0"/>
            </a:pPr>
            <a:endParaRPr lang="zh-CN"/>
          </a:p>
        </c:txPr>
        <c:crossAx val="294595968"/>
        <c:crosses val="autoZero"/>
        <c:auto val="1"/>
        <c:lblOffset val="100"/>
      </c:dateAx>
      <c:valAx>
        <c:axId val="294595968"/>
        <c:scaling>
          <c:orientation val="minMax"/>
        </c:scaling>
        <c:axPos val="l"/>
        <c:majorGridlines/>
        <c:numFmt formatCode="General" sourceLinked="1"/>
        <c:tickLblPos val="nextTo"/>
        <c:txPr>
          <a:bodyPr/>
          <a:lstStyle/>
          <a:p>
            <a:pPr>
              <a:defRPr sz="1100" baseline="0"/>
            </a:pPr>
            <a:endParaRPr lang="zh-CN"/>
          </a:p>
        </c:txPr>
        <c:crossAx val="294594432"/>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chart>
    <c:view3D>
      <c:rAngAx val="1"/>
    </c:view3D>
    <c:plotArea>
      <c:layout/>
      <c:bar3DChart>
        <c:barDir val="col"/>
        <c:grouping val="clustered"/>
        <c:ser>
          <c:idx val="0"/>
          <c:order val="0"/>
          <c:tx>
            <c:strRef>
              <c:f>Sheet1!$K$102</c:f>
              <c:strCache>
                <c:ptCount val="1"/>
                <c:pt idx="0">
                  <c:v>营业成本</c:v>
                </c:pt>
              </c:strCache>
            </c:strRef>
          </c:tx>
          <c:cat>
            <c:numRef>
              <c:f>Sheet1!$J$103:$J$122</c:f>
              <c:numCache>
                <c:formatCode>yyyy/m/d</c:formatCode>
                <c:ptCount val="20"/>
                <c:pt idx="0">
                  <c:v>33603</c:v>
                </c:pt>
                <c:pt idx="1">
                  <c:v>33969</c:v>
                </c:pt>
                <c:pt idx="2">
                  <c:v>34334</c:v>
                </c:pt>
                <c:pt idx="3">
                  <c:v>34699</c:v>
                </c:pt>
                <c:pt idx="4">
                  <c:v>35064</c:v>
                </c:pt>
                <c:pt idx="5">
                  <c:v>35430</c:v>
                </c:pt>
                <c:pt idx="6">
                  <c:v>35795</c:v>
                </c:pt>
                <c:pt idx="7">
                  <c:v>36160</c:v>
                </c:pt>
                <c:pt idx="8">
                  <c:v>36525</c:v>
                </c:pt>
                <c:pt idx="9">
                  <c:v>36891</c:v>
                </c:pt>
                <c:pt idx="10">
                  <c:v>37256</c:v>
                </c:pt>
                <c:pt idx="11">
                  <c:v>37621</c:v>
                </c:pt>
                <c:pt idx="12">
                  <c:v>37986</c:v>
                </c:pt>
                <c:pt idx="13">
                  <c:v>38352</c:v>
                </c:pt>
                <c:pt idx="14">
                  <c:v>38717</c:v>
                </c:pt>
                <c:pt idx="15">
                  <c:v>39082</c:v>
                </c:pt>
                <c:pt idx="16">
                  <c:v>39447</c:v>
                </c:pt>
                <c:pt idx="17">
                  <c:v>39813</c:v>
                </c:pt>
                <c:pt idx="18">
                  <c:v>40178</c:v>
                </c:pt>
                <c:pt idx="19">
                  <c:v>40543</c:v>
                </c:pt>
              </c:numCache>
            </c:numRef>
          </c:cat>
          <c:val>
            <c:numRef>
              <c:f>Sheet1!$K$103:$K$122</c:f>
              <c:numCache>
                <c:formatCode>General</c:formatCode>
                <c:ptCount val="20"/>
                <c:pt idx="0">
                  <c:v>56590028.260000013</c:v>
                </c:pt>
                <c:pt idx="1">
                  <c:v>106413398.42</c:v>
                </c:pt>
                <c:pt idx="2">
                  <c:v>231849072.19999999</c:v>
                </c:pt>
                <c:pt idx="3">
                  <c:v>417566638.4599998</c:v>
                </c:pt>
                <c:pt idx="4">
                  <c:v>472654107.81999999</c:v>
                </c:pt>
                <c:pt idx="5">
                  <c:v>444533632.10000002</c:v>
                </c:pt>
                <c:pt idx="6">
                  <c:v>449136414</c:v>
                </c:pt>
                <c:pt idx="7">
                  <c:v>501030992.9599998</c:v>
                </c:pt>
                <c:pt idx="8">
                  <c:v>701399841.81999969</c:v>
                </c:pt>
                <c:pt idx="9">
                  <c:v>699354024.29000032</c:v>
                </c:pt>
                <c:pt idx="10">
                  <c:v>662587535</c:v>
                </c:pt>
                <c:pt idx="11">
                  <c:v>648274804</c:v>
                </c:pt>
                <c:pt idx="12">
                  <c:v>846372166</c:v>
                </c:pt>
                <c:pt idx="13">
                  <c:v>1241576398</c:v>
                </c:pt>
                <c:pt idx="14">
                  <c:v>1562329053</c:v>
                </c:pt>
                <c:pt idx="15">
                  <c:v>2006282231</c:v>
                </c:pt>
                <c:pt idx="16">
                  <c:v>2909573117</c:v>
                </c:pt>
                <c:pt idx="17">
                  <c:v>2994468398</c:v>
                </c:pt>
                <c:pt idx="18">
                  <c:v>3435574687</c:v>
                </c:pt>
                <c:pt idx="19">
                  <c:v>4943639993</c:v>
                </c:pt>
              </c:numCache>
            </c:numRef>
          </c:val>
        </c:ser>
        <c:ser>
          <c:idx val="1"/>
          <c:order val="1"/>
          <c:tx>
            <c:strRef>
              <c:f>Sheet1!$L$102</c:f>
              <c:strCache>
                <c:ptCount val="1"/>
                <c:pt idx="0">
                  <c:v>主营收入</c:v>
                </c:pt>
              </c:strCache>
            </c:strRef>
          </c:tx>
          <c:cat>
            <c:numRef>
              <c:f>Sheet1!$J$103:$J$122</c:f>
              <c:numCache>
                <c:formatCode>yyyy/m/d</c:formatCode>
                <c:ptCount val="20"/>
                <c:pt idx="0">
                  <c:v>33603</c:v>
                </c:pt>
                <c:pt idx="1">
                  <c:v>33969</c:v>
                </c:pt>
                <c:pt idx="2">
                  <c:v>34334</c:v>
                </c:pt>
                <c:pt idx="3">
                  <c:v>34699</c:v>
                </c:pt>
                <c:pt idx="4">
                  <c:v>35064</c:v>
                </c:pt>
                <c:pt idx="5">
                  <c:v>35430</c:v>
                </c:pt>
                <c:pt idx="6">
                  <c:v>35795</c:v>
                </c:pt>
                <c:pt idx="7">
                  <c:v>36160</c:v>
                </c:pt>
                <c:pt idx="8">
                  <c:v>36525</c:v>
                </c:pt>
                <c:pt idx="9">
                  <c:v>36891</c:v>
                </c:pt>
                <c:pt idx="10">
                  <c:v>37256</c:v>
                </c:pt>
                <c:pt idx="11">
                  <c:v>37621</c:v>
                </c:pt>
                <c:pt idx="12">
                  <c:v>37986</c:v>
                </c:pt>
                <c:pt idx="13">
                  <c:v>38352</c:v>
                </c:pt>
                <c:pt idx="14">
                  <c:v>38717</c:v>
                </c:pt>
                <c:pt idx="15">
                  <c:v>39082</c:v>
                </c:pt>
                <c:pt idx="16">
                  <c:v>39447</c:v>
                </c:pt>
                <c:pt idx="17">
                  <c:v>39813</c:v>
                </c:pt>
                <c:pt idx="18">
                  <c:v>40178</c:v>
                </c:pt>
                <c:pt idx="19">
                  <c:v>40543</c:v>
                </c:pt>
              </c:numCache>
            </c:numRef>
          </c:cat>
          <c:val>
            <c:numRef>
              <c:f>Sheet1!$L$103:$L$122</c:f>
              <c:numCache>
                <c:formatCode>General</c:formatCode>
                <c:ptCount val="20"/>
                <c:pt idx="0">
                  <c:v>111249748.01000002</c:v>
                </c:pt>
                <c:pt idx="1">
                  <c:v>210953364.97999999</c:v>
                </c:pt>
                <c:pt idx="2">
                  <c:v>462175043.44999999</c:v>
                </c:pt>
                <c:pt idx="3">
                  <c:v>671563144.65999997</c:v>
                </c:pt>
                <c:pt idx="4">
                  <c:v>716679570.88999999</c:v>
                </c:pt>
                <c:pt idx="5">
                  <c:v>725108226.32999969</c:v>
                </c:pt>
                <c:pt idx="6">
                  <c:v>729628534.69000041</c:v>
                </c:pt>
                <c:pt idx="7">
                  <c:v>754107910.53999996</c:v>
                </c:pt>
                <c:pt idx="8">
                  <c:v>977655785.78000033</c:v>
                </c:pt>
                <c:pt idx="9">
                  <c:v>1116434358.1799996</c:v>
                </c:pt>
                <c:pt idx="10">
                  <c:v>1040998473</c:v>
                </c:pt>
                <c:pt idx="11">
                  <c:v>1055401736</c:v>
                </c:pt>
                <c:pt idx="12">
                  <c:v>1329818162</c:v>
                </c:pt>
                <c:pt idx="13">
                  <c:v>1881958592</c:v>
                </c:pt>
                <c:pt idx="14">
                  <c:v>2302016737</c:v>
                </c:pt>
                <c:pt idx="15">
                  <c:v>2951599066</c:v>
                </c:pt>
                <c:pt idx="16">
                  <c:v>4187962628</c:v>
                </c:pt>
                <c:pt idx="17">
                  <c:v>4273375853</c:v>
                </c:pt>
                <c:pt idx="18">
                  <c:v>5279100133</c:v>
                </c:pt>
                <c:pt idx="19">
                  <c:v>7743941694</c:v>
                </c:pt>
              </c:numCache>
            </c:numRef>
          </c:val>
        </c:ser>
        <c:shape val="box"/>
        <c:axId val="294624640"/>
        <c:axId val="294626432"/>
        <c:axId val="0"/>
      </c:bar3DChart>
      <c:dateAx>
        <c:axId val="294624640"/>
        <c:scaling>
          <c:orientation val="minMax"/>
        </c:scaling>
        <c:axPos val="b"/>
        <c:numFmt formatCode="yyyy/m/d" sourceLinked="1"/>
        <c:tickLblPos val="nextTo"/>
        <c:crossAx val="294626432"/>
        <c:crosses val="autoZero"/>
        <c:auto val="1"/>
        <c:lblOffset val="100"/>
      </c:dateAx>
      <c:valAx>
        <c:axId val="294626432"/>
        <c:scaling>
          <c:orientation val="minMax"/>
        </c:scaling>
        <c:axPos val="l"/>
        <c:majorGridlines/>
        <c:numFmt formatCode="General" sourceLinked="1"/>
        <c:tickLblPos val="nextTo"/>
        <c:crossAx val="294624640"/>
        <c:crosses val="autoZero"/>
        <c:crossBetween val="between"/>
      </c:valAx>
    </c:plotArea>
    <c:legend>
      <c:legendPos val="r"/>
      <c:txPr>
        <a:bodyPr/>
        <a:lstStyle/>
        <a:p>
          <a:pPr>
            <a:defRPr sz="1100" baseline="0"/>
          </a:pPr>
          <a:endParaRPr lang="zh-CN"/>
        </a:p>
      </c:txP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zh-CN"/>
  <c:chart>
    <c:view3D>
      <c:rAngAx val="1"/>
    </c:view3D>
    <c:plotArea>
      <c:layout/>
      <c:bar3DChart>
        <c:barDir val="col"/>
        <c:grouping val="clustered"/>
        <c:ser>
          <c:idx val="0"/>
          <c:order val="0"/>
          <c:tx>
            <c:strRef>
              <c:f>Sheet1!$D$124</c:f>
              <c:strCache>
                <c:ptCount val="1"/>
                <c:pt idx="0">
                  <c:v>销售费用</c:v>
                </c:pt>
              </c:strCache>
            </c:strRef>
          </c:tx>
          <c:cat>
            <c:numRef>
              <c:f>Sheet1!$C$125:$C$128</c:f>
              <c:numCache>
                <c:formatCode>yyyy/m/d</c:formatCode>
                <c:ptCount val="4"/>
                <c:pt idx="0">
                  <c:v>40543</c:v>
                </c:pt>
                <c:pt idx="1">
                  <c:v>40178</c:v>
                </c:pt>
                <c:pt idx="2">
                  <c:v>39813</c:v>
                </c:pt>
                <c:pt idx="3">
                  <c:v>39447</c:v>
                </c:pt>
              </c:numCache>
            </c:numRef>
          </c:cat>
          <c:val>
            <c:numRef>
              <c:f>Sheet1!$D$125:$D$128</c:f>
              <c:numCache>
                <c:formatCode>General</c:formatCode>
                <c:ptCount val="4"/>
                <c:pt idx="0">
                  <c:v>265636421</c:v>
                </c:pt>
                <c:pt idx="1">
                  <c:v>242211660</c:v>
                </c:pt>
                <c:pt idx="2">
                  <c:v>220181238</c:v>
                </c:pt>
                <c:pt idx="3">
                  <c:v>251276789</c:v>
                </c:pt>
              </c:numCache>
            </c:numRef>
          </c:val>
        </c:ser>
        <c:ser>
          <c:idx val="1"/>
          <c:order val="1"/>
          <c:tx>
            <c:strRef>
              <c:f>Sheet1!$E$124</c:f>
              <c:strCache>
                <c:ptCount val="1"/>
                <c:pt idx="0">
                  <c:v>财务费用</c:v>
                </c:pt>
              </c:strCache>
            </c:strRef>
          </c:tx>
          <c:cat>
            <c:numRef>
              <c:f>Sheet1!$C$125:$C$128</c:f>
              <c:numCache>
                <c:formatCode>yyyy/m/d</c:formatCode>
                <c:ptCount val="4"/>
                <c:pt idx="0">
                  <c:v>40543</c:v>
                </c:pt>
                <c:pt idx="1">
                  <c:v>40178</c:v>
                </c:pt>
                <c:pt idx="2">
                  <c:v>39813</c:v>
                </c:pt>
                <c:pt idx="3">
                  <c:v>39447</c:v>
                </c:pt>
              </c:numCache>
            </c:numRef>
          </c:cat>
          <c:val>
            <c:numRef>
              <c:f>Sheet1!$E$125:$E$128</c:f>
              <c:numCache>
                <c:formatCode>General</c:formatCode>
                <c:ptCount val="4"/>
                <c:pt idx="0">
                  <c:v>106228512</c:v>
                </c:pt>
                <c:pt idx="1">
                  <c:v>105546371</c:v>
                </c:pt>
                <c:pt idx="2">
                  <c:v>77935725</c:v>
                </c:pt>
                <c:pt idx="3">
                  <c:v>64918116</c:v>
                </c:pt>
              </c:numCache>
            </c:numRef>
          </c:val>
        </c:ser>
        <c:ser>
          <c:idx val="2"/>
          <c:order val="2"/>
          <c:tx>
            <c:strRef>
              <c:f>Sheet1!$F$124</c:f>
              <c:strCache>
                <c:ptCount val="1"/>
                <c:pt idx="0">
                  <c:v>管理费用</c:v>
                </c:pt>
              </c:strCache>
            </c:strRef>
          </c:tx>
          <c:cat>
            <c:numRef>
              <c:f>Sheet1!$C$125:$C$128</c:f>
              <c:numCache>
                <c:formatCode>yyyy/m/d</c:formatCode>
                <c:ptCount val="4"/>
                <c:pt idx="0">
                  <c:v>40543</c:v>
                </c:pt>
                <c:pt idx="1">
                  <c:v>40178</c:v>
                </c:pt>
                <c:pt idx="2">
                  <c:v>39813</c:v>
                </c:pt>
                <c:pt idx="3">
                  <c:v>39447</c:v>
                </c:pt>
              </c:numCache>
            </c:numRef>
          </c:cat>
          <c:val>
            <c:numRef>
              <c:f>Sheet1!$F$125:$F$128</c:f>
              <c:numCache>
                <c:formatCode>General</c:formatCode>
                <c:ptCount val="4"/>
                <c:pt idx="0">
                  <c:v>556316614</c:v>
                </c:pt>
                <c:pt idx="1">
                  <c:v>419964357</c:v>
                </c:pt>
                <c:pt idx="2">
                  <c:v>332446210</c:v>
                </c:pt>
                <c:pt idx="3">
                  <c:v>292019143</c:v>
                </c:pt>
              </c:numCache>
            </c:numRef>
          </c:val>
        </c:ser>
        <c:shape val="box"/>
        <c:axId val="294648064"/>
        <c:axId val="294727680"/>
        <c:axId val="0"/>
      </c:bar3DChart>
      <c:dateAx>
        <c:axId val="294648064"/>
        <c:scaling>
          <c:orientation val="minMax"/>
        </c:scaling>
        <c:axPos val="b"/>
        <c:numFmt formatCode="yyyy/m/d" sourceLinked="1"/>
        <c:tickLblPos val="nextTo"/>
        <c:txPr>
          <a:bodyPr/>
          <a:lstStyle/>
          <a:p>
            <a:pPr>
              <a:defRPr sz="1100" baseline="0"/>
            </a:pPr>
            <a:endParaRPr lang="zh-CN"/>
          </a:p>
        </c:txPr>
        <c:crossAx val="294727680"/>
        <c:crosses val="autoZero"/>
        <c:auto val="1"/>
        <c:lblOffset val="100"/>
      </c:dateAx>
      <c:valAx>
        <c:axId val="294727680"/>
        <c:scaling>
          <c:orientation val="minMax"/>
        </c:scaling>
        <c:axPos val="l"/>
        <c:majorGridlines/>
        <c:numFmt formatCode="General" sourceLinked="1"/>
        <c:tickLblPos val="nextTo"/>
        <c:txPr>
          <a:bodyPr/>
          <a:lstStyle/>
          <a:p>
            <a:pPr>
              <a:defRPr sz="1100" baseline="0"/>
            </a:pPr>
            <a:endParaRPr lang="zh-CN"/>
          </a:p>
        </c:txPr>
        <c:crossAx val="294648064"/>
        <c:crosses val="autoZero"/>
        <c:crossBetween val="between"/>
      </c:valAx>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zh-CN"/>
  <c:chart>
    <c:view3D>
      <c:rAngAx val="1"/>
    </c:view3D>
    <c:plotArea>
      <c:layout/>
      <c:bar3DChart>
        <c:barDir val="col"/>
        <c:grouping val="clustered"/>
        <c:ser>
          <c:idx val="0"/>
          <c:order val="0"/>
          <c:cat>
            <c:numRef>
              <c:f>Sheet1!$C$153:$C$172</c:f>
              <c:numCache>
                <c:formatCode>yyyy/m/d</c:formatCode>
                <c:ptCount val="20"/>
                <c:pt idx="0">
                  <c:v>40543</c:v>
                </c:pt>
                <c:pt idx="1">
                  <c:v>40178</c:v>
                </c:pt>
                <c:pt idx="2">
                  <c:v>39813</c:v>
                </c:pt>
                <c:pt idx="3">
                  <c:v>39447</c:v>
                </c:pt>
                <c:pt idx="4">
                  <c:v>39082</c:v>
                </c:pt>
                <c:pt idx="5">
                  <c:v>38717</c:v>
                </c:pt>
                <c:pt idx="6">
                  <c:v>38352</c:v>
                </c:pt>
                <c:pt idx="7">
                  <c:v>37986</c:v>
                </c:pt>
                <c:pt idx="8">
                  <c:v>37621</c:v>
                </c:pt>
                <c:pt idx="9">
                  <c:v>37256</c:v>
                </c:pt>
                <c:pt idx="10">
                  <c:v>36891</c:v>
                </c:pt>
                <c:pt idx="11">
                  <c:v>36525</c:v>
                </c:pt>
                <c:pt idx="12">
                  <c:v>36160</c:v>
                </c:pt>
                <c:pt idx="13">
                  <c:v>35795</c:v>
                </c:pt>
                <c:pt idx="14">
                  <c:v>35430</c:v>
                </c:pt>
                <c:pt idx="15">
                  <c:v>35064</c:v>
                </c:pt>
                <c:pt idx="16">
                  <c:v>34699</c:v>
                </c:pt>
                <c:pt idx="17">
                  <c:v>34334</c:v>
                </c:pt>
                <c:pt idx="18">
                  <c:v>33969</c:v>
                </c:pt>
                <c:pt idx="19">
                  <c:v>33603</c:v>
                </c:pt>
              </c:numCache>
            </c:numRef>
          </c:cat>
          <c:val>
            <c:numRef>
              <c:f>Sheet1!$D$153:$D$172</c:f>
              <c:numCache>
                <c:formatCode>General</c:formatCode>
                <c:ptCount val="20"/>
                <c:pt idx="0">
                  <c:v>1455209218</c:v>
                </c:pt>
                <c:pt idx="1">
                  <c:v>831944393</c:v>
                </c:pt>
                <c:pt idx="2">
                  <c:v>420079848</c:v>
                </c:pt>
                <c:pt idx="3">
                  <c:v>431484803</c:v>
                </c:pt>
                <c:pt idx="4">
                  <c:v>332111553</c:v>
                </c:pt>
                <c:pt idx="5">
                  <c:v>316411545</c:v>
                </c:pt>
                <c:pt idx="6">
                  <c:v>339016740</c:v>
                </c:pt>
                <c:pt idx="7">
                  <c:v>203910236</c:v>
                </c:pt>
                <c:pt idx="8">
                  <c:v>163311160</c:v>
                </c:pt>
                <c:pt idx="9">
                  <c:v>151297232</c:v>
                </c:pt>
                <c:pt idx="10">
                  <c:v>164228766.63</c:v>
                </c:pt>
                <c:pt idx="11">
                  <c:v>-169700553.75999999</c:v>
                </c:pt>
                <c:pt idx="12">
                  <c:v>15743844.619999997</c:v>
                </c:pt>
                <c:pt idx="13">
                  <c:v>103166487.79000002</c:v>
                </c:pt>
                <c:pt idx="14">
                  <c:v>153037565.36000001</c:v>
                </c:pt>
                <c:pt idx="15">
                  <c:v>134672207.10999998</c:v>
                </c:pt>
                <c:pt idx="16">
                  <c:v>161143700</c:v>
                </c:pt>
                <c:pt idx="17">
                  <c:v>145275022.81</c:v>
                </c:pt>
                <c:pt idx="18">
                  <c:v>60698000</c:v>
                </c:pt>
                <c:pt idx="19">
                  <c:v>25496900</c:v>
                </c:pt>
              </c:numCache>
            </c:numRef>
          </c:val>
        </c:ser>
        <c:shape val="box"/>
        <c:axId val="294738176"/>
        <c:axId val="294744064"/>
        <c:axId val="0"/>
      </c:bar3DChart>
      <c:dateAx>
        <c:axId val="294738176"/>
        <c:scaling>
          <c:orientation val="minMax"/>
        </c:scaling>
        <c:axPos val="b"/>
        <c:numFmt formatCode="yyyy/m/d" sourceLinked="1"/>
        <c:tickLblPos val="nextTo"/>
        <c:crossAx val="294744064"/>
        <c:crosses val="autoZero"/>
        <c:auto val="1"/>
        <c:lblOffset val="100"/>
      </c:dateAx>
      <c:valAx>
        <c:axId val="294744064"/>
        <c:scaling>
          <c:orientation val="minMax"/>
        </c:scaling>
        <c:axPos val="l"/>
        <c:majorGridlines/>
        <c:numFmt formatCode="General" sourceLinked="1"/>
        <c:tickLblPos val="nextTo"/>
        <c:crossAx val="294738176"/>
        <c:crosses val="autoZero"/>
        <c:crossBetween val="between"/>
      </c:valAx>
    </c:plotArea>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873</Words>
  <Characters>4982</Characters>
  <Application>Microsoft Office Word</Application>
  <DocSecurity>0</DocSecurity>
  <Lines>41</Lines>
  <Paragraphs>11</Paragraphs>
  <ScaleCrop>false</ScaleCrop>
  <Company/>
  <LinksUpToDate>false</LinksUpToDate>
  <CharactersWithSpaces>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bhongchen</dc:creator>
  <cp:lastModifiedBy>bhongchen</cp:lastModifiedBy>
  <cp:revision>2</cp:revision>
  <dcterms:created xsi:type="dcterms:W3CDTF">2011-03-26T04:31:00Z</dcterms:created>
  <dcterms:modified xsi:type="dcterms:W3CDTF">2011-03-26T04:31:00Z</dcterms:modified>
</cp:coreProperties>
</file>